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3868"/>
      <w:bookmarkStart w:id="2" w:name="_Toc10059"/>
      <w:bookmarkStart w:id="3" w:name="_Toc76373863"/>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15376"/>
      <w:bookmarkStart w:id="9" w:name="_Toc76373864"/>
      <w:bookmarkStart w:id="10" w:name="_Toc5909"/>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项目名称：呼吸湿化治疗仪（加温呼吸管路）</w:t>
      </w:r>
      <w:r>
        <w:rPr>
          <w:rFonts w:hint="eastAsia" w:ascii="宋体" w:hAnsi="宋体" w:cs="宋体"/>
          <w:color w:val="auto"/>
          <w:sz w:val="24"/>
          <w:szCs w:val="24"/>
          <w:lang w:eastAsia="zh-CN"/>
        </w:rPr>
        <w:t>、</w:t>
      </w:r>
      <w:r>
        <w:rPr>
          <w:rFonts w:hint="eastAsia" w:ascii="宋体" w:hAnsi="宋体" w:cs="宋体"/>
          <w:color w:val="auto"/>
          <w:sz w:val="24"/>
          <w:szCs w:val="24"/>
        </w:rPr>
        <w:t>呼吸湿化治疗仪（一次性使用鼻氧管）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22707"/>
            <w:bookmarkStart w:id="16" w:name="_Toc5838"/>
            <w:bookmarkStart w:id="17" w:name="_Toc18060"/>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呼吸湿化治疗仪（加温呼吸管路）</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lang w:val="en-US" w:eastAsia="zh-CN"/>
              </w:rPr>
              <w:t>呼吸内科、老年、重症医学、全科、神经内科、泌尿肾病中心</w:t>
            </w:r>
          </w:p>
        </w:tc>
      </w:tr>
      <w:tr w14:paraId="71BE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F26432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03C8245A">
            <w:pPr>
              <w:widowControl/>
              <w:spacing w:line="400" w:lineRule="exact"/>
              <w:jc w:val="center"/>
              <w:rPr>
                <w:rFonts w:hint="eastAsia" w:ascii="宋体" w:hAnsi="宋体" w:cs="宋体"/>
                <w:color w:val="auto"/>
                <w:sz w:val="24"/>
                <w:szCs w:val="24"/>
              </w:rPr>
            </w:pPr>
            <w:r>
              <w:rPr>
                <w:rFonts w:hint="eastAsia" w:ascii="宋体" w:hAnsi="宋体" w:cs="宋体"/>
                <w:color w:val="auto"/>
                <w:sz w:val="24"/>
                <w:szCs w:val="24"/>
              </w:rPr>
              <w:t>呼吸湿化治疗仪（一次性使用鼻氧管）</w:t>
            </w:r>
          </w:p>
        </w:tc>
        <w:tc>
          <w:tcPr>
            <w:tcW w:w="1485" w:type="dxa"/>
            <w:shd w:val="clear" w:color="auto" w:fill="auto"/>
            <w:noWrap w:val="0"/>
            <w:vAlign w:val="center"/>
          </w:tcPr>
          <w:p w14:paraId="78CC871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C634A8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1594" w:type="dxa"/>
            <w:vMerge w:val="continue"/>
            <w:noWrap w:val="0"/>
            <w:vAlign w:val="center"/>
          </w:tcPr>
          <w:p w14:paraId="23FC5B24">
            <w:pPr>
              <w:keepNext w:val="0"/>
              <w:keepLines w:val="0"/>
              <w:widowControl/>
              <w:suppressLineNumbers w:val="0"/>
              <w:jc w:val="center"/>
              <w:textAlignment w:val="center"/>
              <w:rPr>
                <w:rFonts w:hint="eastAsia" w:ascii="宋体" w:hAnsi="宋体" w:cs="宋体"/>
                <w:color w:val="auto"/>
                <w:sz w:val="24"/>
                <w:szCs w:val="24"/>
                <w:lang w:val="en-US" w:eastAsia="zh-CN"/>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3434"/>
      <w:bookmarkStart w:id="21" w:name="_Toc10137"/>
      <w:bookmarkStart w:id="22" w:name="_Toc25496"/>
      <w:bookmarkStart w:id="23" w:name="_Toc76373866"/>
      <w:bookmarkStart w:id="24" w:name="_Toc2650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28099"/>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呼吸内科、老年、重症医学、全科、神经内科、泌尿肾病中心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呼吸内科、老年、重症医学、全科、神经内科、泌尿肾病中心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呼吸内科、老年、重症医学、全科、神经内科、泌尿肾病中心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呼吸内科、老年、重症医学、全科、神经内科、泌尿肾病中心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4033"/>
      <w:bookmarkStart w:id="45" w:name="_Toc25272"/>
      <w:bookmarkStart w:id="46" w:name="_Toc14224"/>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1474"/>
      <w:bookmarkStart w:id="52" w:name="_Toc3153"/>
      <w:bookmarkStart w:id="53" w:name="_Toc76373874"/>
      <w:bookmarkStart w:id="54" w:name="_Toc2599"/>
      <w:bookmarkStart w:id="55" w:name="_Toc13391"/>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6355"/>
      <w:bookmarkStart w:id="59" w:name="_Toc29225"/>
      <w:bookmarkStart w:id="60" w:name="_Toc29620"/>
      <w:bookmarkStart w:id="61" w:name="_Toc30465"/>
      <w:bookmarkStart w:id="62" w:name="_Toc76373876"/>
      <w:bookmarkStart w:id="63" w:name="_Toc13107"/>
      <w:bookmarkStart w:id="64" w:name="_Toc1955"/>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3DCDBF76">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1.用于连接费雪派克系列（PT101AZ/AirvoTM）呼吸湿化治疗仪与患者，输送经加温湿化的呼吸气体，维持气道恒温恒湿，有效防止冷凝水产生。</w:t>
      </w:r>
    </w:p>
    <w:p w14:paraId="583F24F4">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2.适配于医院现有的费雪派克系列呼吸湿化治疗仪，确保即插即用，连接牢固，无漏气。</w:t>
      </w:r>
    </w:p>
    <w:p w14:paraId="76A6556B">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3.采用集成式自动恒温加温丝，全程均匀加热。</w:t>
      </w:r>
    </w:p>
    <w:p w14:paraId="4FC36FE6">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4.在主机设置温度下，管路精准输送，使输送至患者端的气体温度稳定在设定值（通常为30℃-37℃），波动范围不大于±2℃。</w:t>
      </w:r>
    </w:p>
    <w:p w14:paraId="622E2B5E">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5.在环境温度（如22℃ ± 2℃），相对湿度（如50%±10%）的条件下，以最大流量（如60 L/min）和最高湿度档位运行，管路外壁及连接处不应产生肉眼可见的冷凝水。</w:t>
      </w:r>
    </w:p>
    <w:p w14:paraId="727DAAD3">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6.管路具备良好柔韧性，不易压瘪、扭结，不影响通气。同时具有足够的抗拉伸强度。</w:t>
      </w:r>
    </w:p>
    <w:p w14:paraId="59BEC2BE">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7.材质宜为医用级不含乳胶、低致敏性的材料。</w:t>
      </w:r>
    </w:p>
    <w:p w14:paraId="065748C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8.管路内径需与费雪派克主机输出特性匹配，确保在标定流量下压力损失小，输送精确。</w:t>
      </w:r>
    </w:p>
    <w:p w14:paraId="15325003">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9.提供多种规格，如1.8米、2.0米、2.5米等。</w:t>
      </w:r>
    </w:p>
    <w:p w14:paraId="0C39C171">
      <w:pPr>
        <w:spacing w:line="320" w:lineRule="exact"/>
        <w:ind w:left="478" w:leftChars="85" w:hanging="240" w:hangingChars="100"/>
        <w:jc w:val="left"/>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10.独立无菌包装，标识清晰。</w:t>
      </w:r>
    </w:p>
    <w:p w14:paraId="1C864E3D">
      <w:pPr>
        <w:spacing w:line="320" w:lineRule="exact"/>
        <w:ind w:left="478" w:leftChars="85" w:hanging="240" w:hangingChars="100"/>
        <w:jc w:val="left"/>
        <w:rPr>
          <w:rFonts w:hint="default" w:ascii="Times New Roman" w:hAnsi="Times New Roman" w:eastAsia="宋体" w:cs="Times New Roman"/>
          <w:b w:val="0"/>
          <w:bCs w:val="0"/>
          <w:color w:val="auto"/>
          <w:sz w:val="24"/>
          <w:szCs w:val="24"/>
          <w:lang w:val="en-US" w:eastAsia="zh-CN"/>
        </w:rPr>
      </w:pPr>
    </w:p>
    <w:p w14:paraId="174971A7">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w:t>
      </w:r>
    </w:p>
    <w:p w14:paraId="23D07027">
      <w:pPr>
        <w:spacing w:line="320" w:lineRule="exact"/>
        <w:ind w:left="478" w:leftChars="85" w:hanging="240" w:hangingChars="100"/>
        <w:jc w:val="left"/>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1.用于连接适配费雪派克呼吸湿化仪的加温呼吸管路的患者端，为需要高流量湿化氧疗的患者经鼻输送温暖、湿润的呼吸气体。</w:t>
      </w:r>
    </w:p>
    <w:p w14:paraId="40F1775A">
      <w:pPr>
        <w:spacing w:line="320" w:lineRule="exact"/>
        <w:ind w:left="478" w:leftChars="85" w:hanging="240" w:hangingChars="100"/>
        <w:jc w:val="left"/>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2.双鼻塞设计，符合人体鼻腔解剖结构，提供多种尺寸或为通用柔性设计，以适应不同患者。</w:t>
      </w:r>
    </w:p>
    <w:p w14:paraId="019C9E28">
      <w:pPr>
        <w:spacing w:line="320" w:lineRule="exact"/>
        <w:ind w:left="478" w:leftChars="85" w:hanging="240" w:hangingChars="100"/>
        <w:jc w:val="left"/>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3.鼻塞后端的软管应长度适宜，柔软且可定型，方便患者调整至舒适位置，减轻对耳朵和头部的压力。</w:t>
      </w:r>
    </w:p>
    <w:p w14:paraId="46DB97A3">
      <w:pPr>
        <w:spacing w:line="320" w:lineRule="exact"/>
        <w:ind w:left="478" w:leftChars="85" w:hanging="240" w:hangingChars="100"/>
        <w:jc w:val="left"/>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4.采用柔软、弹性的头带，可调节长短，固定稳固且佩戴舒适，避免长时间使用造成皮肤压伤。</w:t>
      </w:r>
    </w:p>
    <w:p w14:paraId="5019CF2F">
      <w:pPr>
        <w:spacing w:line="320" w:lineRule="exact"/>
        <w:ind w:left="478" w:leftChars="85" w:hanging="240" w:hangingChars="100"/>
        <w:jc w:val="left"/>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5.管路及鼻塞设计必须能承受并有效输送最高不低于60L/min的气体流量，在最高流量下管路各部分无异常膨胀、爆裂或产生过大噪声。</w:t>
      </w:r>
    </w:p>
    <w:p w14:paraId="3C91E1BC">
      <w:pPr>
        <w:spacing w:line="320" w:lineRule="exact"/>
        <w:ind w:left="478" w:leftChars="85" w:hanging="240" w:hangingChars="100"/>
        <w:jc w:val="left"/>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6.与患者皮肤和黏膜接触的部分须采用医用级、不含乳胶、低致敏性材料。</w:t>
      </w:r>
    </w:p>
    <w:p w14:paraId="73B5EA6A">
      <w:pPr>
        <w:spacing w:line="320" w:lineRule="exact"/>
        <w:ind w:left="478" w:leftChars="85" w:hanging="240" w:hangingChars="100"/>
        <w:jc w:val="left"/>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7.一次性使用，无菌独立包装。</w:t>
      </w:r>
    </w:p>
    <w:p w14:paraId="271C5E61">
      <w:pPr>
        <w:pStyle w:val="168"/>
        <w:widowControl/>
        <w:spacing w:line="400" w:lineRule="exact"/>
        <w:ind w:firstLine="480" w:firstLineChars="200"/>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524"/>
      <w:bookmarkStart w:id="68" w:name="_Toc1768"/>
      <w:bookmarkStart w:id="69" w:name="_Toc15650"/>
      <w:bookmarkStart w:id="70" w:name="_Toc2072"/>
      <w:bookmarkStart w:id="71" w:name="_Toc17944"/>
      <w:bookmarkStart w:id="72" w:name="_Toc24122"/>
      <w:bookmarkStart w:id="73" w:name="_Toc76373878"/>
      <w:bookmarkStart w:id="74" w:name="_Toc4791"/>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29836"/>
      <w:bookmarkStart w:id="79" w:name="_Toc9339"/>
      <w:bookmarkStart w:id="80" w:name="_Toc22561"/>
      <w:bookmarkStart w:id="81" w:name="_Toc14311"/>
      <w:bookmarkStart w:id="82" w:name="_Toc76373879"/>
      <w:bookmarkStart w:id="83" w:name="_Toc595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258"/>
      <w:bookmarkStart w:id="89" w:name="_Toc12384"/>
      <w:bookmarkStart w:id="90" w:name="_Toc20263"/>
      <w:bookmarkStart w:id="91" w:name="_Toc20772"/>
      <w:bookmarkStart w:id="92" w:name="_Toc27893"/>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23699"/>
      <w:bookmarkStart w:id="96" w:name="_Toc7115"/>
      <w:bookmarkStart w:id="97" w:name="_Toc76373886"/>
      <w:bookmarkStart w:id="98" w:name="_Toc11052"/>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9147"/>
      <w:bookmarkStart w:id="103" w:name="_Toc76373887"/>
      <w:bookmarkStart w:id="104" w:name="_Toc5535"/>
      <w:bookmarkStart w:id="105" w:name="_Toc26754"/>
      <w:bookmarkStart w:id="106" w:name="_Toc19809"/>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5251"/>
      <w:bookmarkStart w:id="109" w:name="_Toc2900"/>
      <w:bookmarkStart w:id="110" w:name="_Toc8546"/>
      <w:bookmarkStart w:id="111" w:name="_Toc30068"/>
      <w:bookmarkStart w:id="112" w:name="_Toc16925"/>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11654"/>
      <w:bookmarkStart w:id="118" w:name="_Toc20034"/>
      <w:bookmarkStart w:id="119" w:name="_Toc76373890"/>
      <w:bookmarkStart w:id="120" w:name="_Toc27443"/>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25199"/>
      <w:bookmarkStart w:id="125" w:name="_Toc20391"/>
      <w:bookmarkStart w:id="126" w:name="_Toc27646"/>
      <w:bookmarkStart w:id="127" w:name="_Toc10864"/>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76373904"/>
      <w:bookmarkStart w:id="137" w:name="_Toc20762"/>
      <w:bookmarkStart w:id="138" w:name="_Toc10152"/>
      <w:bookmarkStart w:id="139" w:name="_Toc19409"/>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11763"/>
      <w:bookmarkStart w:id="143" w:name="_Toc76373907"/>
      <w:bookmarkStart w:id="144" w:name="_Toc25920"/>
      <w:bookmarkStart w:id="145" w:name="_Toc11892"/>
      <w:bookmarkStart w:id="146" w:name="_Toc16112"/>
      <w:bookmarkStart w:id="147" w:name="_Toc775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10063"/>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9795"/>
      <w:bookmarkStart w:id="170" w:name="_Toc21431"/>
      <w:bookmarkStart w:id="171" w:name="_Toc76373909"/>
      <w:bookmarkStart w:id="172" w:name="_Toc21830"/>
      <w:bookmarkStart w:id="173" w:name="_Toc27306"/>
      <w:bookmarkStart w:id="174" w:name="_Toc493178790"/>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76373910"/>
      <w:bookmarkStart w:id="179" w:name="_Toc492721039"/>
      <w:bookmarkStart w:id="180" w:name="_Toc12647"/>
      <w:bookmarkStart w:id="181" w:name="_Toc16487"/>
      <w:bookmarkStart w:id="182" w:name="_Toc411"/>
      <w:bookmarkStart w:id="183" w:name="_Toc20875"/>
      <w:bookmarkStart w:id="184" w:name="_Toc20258"/>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6217"/>
      <w:bookmarkStart w:id="188" w:name="_Toc16151"/>
      <w:bookmarkStart w:id="189" w:name="_Toc19291"/>
      <w:bookmarkStart w:id="190" w:name="_Toc493178793"/>
      <w:bookmarkStart w:id="191" w:name="_Toc20605"/>
      <w:bookmarkStart w:id="192" w:name="_Toc8925"/>
      <w:bookmarkStart w:id="193" w:name="_Toc76373912"/>
      <w:bookmarkStart w:id="194" w:name="_Toc492721038"/>
      <w:bookmarkStart w:id="195" w:name="_Toc4250"/>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4835D4-E894-42F2-BBE0-6EAA48956A81}"/>
  </w:font>
  <w:font w:name="黑体">
    <w:panose1 w:val="02010609060101010101"/>
    <w:charset w:val="86"/>
    <w:family w:val="auto"/>
    <w:pitch w:val="default"/>
    <w:sig w:usb0="800002BF" w:usb1="38CF7CFA" w:usb2="00000016" w:usb3="00000000" w:csb0="00040001" w:csb1="00000000"/>
    <w:embedRegular r:id="rId2" w:fontKey="{F04C286D-15D4-4FD3-84BC-0E9BF3D812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0D7A5E5-5F02-4840-B95F-FE16A319155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3AD27474-EBE3-4FB9-AF45-F85A3EF4B5A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D007B6B-83B5-4538-AF7B-BCCD31C0645D}"/>
  </w:font>
  <w:font w:name="方正黑体_GBK">
    <w:panose1 w:val="03000509000000000000"/>
    <w:charset w:val="86"/>
    <w:family w:val="script"/>
    <w:pitch w:val="default"/>
    <w:sig w:usb0="00000001" w:usb1="080E0000" w:usb2="00000000" w:usb3="00000000" w:csb0="00040000" w:csb1="00000000"/>
    <w:embedRegular r:id="rId6" w:fontKey="{D40D3662-F73C-4CCA-AF9F-54FA48DBD589}"/>
  </w:font>
  <w:font w:name="方正小标宋_GBK">
    <w:panose1 w:val="03000509000000000000"/>
    <w:charset w:val="86"/>
    <w:family w:val="script"/>
    <w:pitch w:val="default"/>
    <w:sig w:usb0="00000001" w:usb1="080E0000" w:usb2="00000000" w:usb3="00000000" w:csb0="00040000" w:csb1="00000000"/>
    <w:embedRegular r:id="rId7" w:fontKey="{3808077C-3289-49F3-82C5-BD340B59610E}"/>
  </w:font>
  <w:font w:name="微软雅黑">
    <w:panose1 w:val="020B0503020204020204"/>
    <w:charset w:val="86"/>
    <w:family w:val="swiss"/>
    <w:pitch w:val="default"/>
    <w:sig w:usb0="80000287" w:usb1="2ACF3C50" w:usb2="00000016" w:usb3="00000000" w:csb0="0004001F" w:csb1="00000000"/>
    <w:embedRegular r:id="rId8" w:fontKey="{EB953CF3-244A-4BCA-BFBA-33820FCADFBD}"/>
  </w:font>
  <w:font w:name="仿宋">
    <w:panose1 w:val="02010609060101010101"/>
    <w:charset w:val="86"/>
    <w:family w:val="modern"/>
    <w:pitch w:val="default"/>
    <w:sig w:usb0="800002BF" w:usb1="38CF7CFA" w:usb2="00000016" w:usb3="00000000" w:csb0="00040001" w:csb1="00000000"/>
    <w:embedRegular r:id="rId9" w:fontKey="{40B7333F-0D46-4908-9B9D-C337651D3193}"/>
  </w:font>
  <w:font w:name="楷体">
    <w:panose1 w:val="02010609060101010101"/>
    <w:charset w:val="86"/>
    <w:family w:val="modern"/>
    <w:pitch w:val="default"/>
    <w:sig w:usb0="800002BF" w:usb1="38CF7CFA" w:usb2="00000016" w:usb3="00000000" w:csb0="00040001" w:csb1="00000000"/>
    <w:embedRegular r:id="rId10" w:fontKey="{9AD33AFE-A392-4F43-9967-AF2C219CF44D}"/>
  </w:font>
  <w:font w:name="WPSEMBED103">
    <w:panose1 w:val="03000509000000000000"/>
    <w:charset w:val="86"/>
    <w:family w:val="auto"/>
    <w:pitch w:val="default"/>
    <w:sig w:usb0="00000001" w:usb1="080E0000" w:usb2="00000000" w:usb3="00000000" w:csb0="00040000" w:csb1="00000000"/>
  </w:font>
  <w:font w:name="WPSEMBED104">
    <w:panose1 w:val="03000509000000000000"/>
    <w:charset w:val="86"/>
    <w:family w:val="auto"/>
    <w:pitch w:val="default"/>
    <w:sig w:usb0="00000001" w:usb1="080E0000" w:usb2="00000000" w:usb3="00000000" w:csb0="00040000" w:csb1="00000000"/>
  </w:font>
  <w:font w:name="WPSEMBED101">
    <w:panose1 w:val="02010609030101010101"/>
    <w:charset w:val="86"/>
    <w:family w:val="auto"/>
    <w:pitch w:val="default"/>
    <w:sig w:usb0="00000001" w:usb1="080E0000" w:usb2="00000000" w:usb3="00000000" w:csb0="00040000" w:csb1="00000000"/>
  </w:font>
  <w:font w:name="WPSEMBED105">
    <w:panose1 w:val="03000509000000000000"/>
    <w:charset w:val="86"/>
    <w:family w:val="auto"/>
    <w:pitch w:val="default"/>
    <w:sig w:usb0="00000001" w:usb1="080E0000" w:usb2="00000000" w:usb3="00000000" w:csb0="00040000" w:csb1="00000000"/>
  </w:font>
  <w:font w:name="WPSEMBED10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6042AD"/>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B67A46"/>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43787C"/>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91A6D"/>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012BC"/>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5802</Words>
  <Characters>5968</Characters>
  <Lines>101</Lines>
  <Paragraphs>28</Paragraphs>
  <TotalTime>0</TotalTime>
  <ScaleCrop>false</ScaleCrop>
  <LinksUpToDate>false</LinksUpToDate>
  <CharactersWithSpaces>6070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2026-05-14T08:04:07Z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