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0059"/>
      <w:bookmarkStart w:id="1" w:name="_Toc76373863"/>
      <w:bookmarkStart w:id="2" w:name="_Toc13868"/>
      <w:bookmarkStart w:id="3" w:name="_Toc31066"/>
      <w:bookmarkStart w:id="4" w:name="_Toc1304"/>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5909"/>
      <w:bookmarkStart w:id="8" w:name="_Toc76373864"/>
      <w:bookmarkStart w:id="9" w:name="_Toc28264"/>
      <w:bookmarkStart w:id="10" w:name="_Toc22435"/>
      <w:bookmarkStart w:id="11" w:name="_Toc15376"/>
      <w:bookmarkStart w:id="12" w:name="_Toc11603"/>
      <w:bookmarkStart w:id="13" w:name="_Toc17192"/>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58119EF9">
      <w:pPr>
        <w:widowControl/>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项目名称：两件式凸面造口底盘/两件式造口袋子</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比选（需满足全部参数）</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76373865"/>
            <w:bookmarkStart w:id="15" w:name="_Toc22707"/>
            <w:bookmarkStart w:id="16" w:name="_Toc18060"/>
            <w:bookmarkStart w:id="17" w:name="_Toc5838"/>
            <w:bookmarkStart w:id="18" w:name="_Toc22129"/>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一</w:t>
            </w:r>
          </w:p>
        </w:tc>
        <w:tc>
          <w:tcPr>
            <w:tcW w:w="2298" w:type="dxa"/>
            <w:shd w:val="clear" w:color="auto" w:fill="auto"/>
            <w:noWrap w:val="0"/>
            <w:vAlign w:val="center"/>
          </w:tcPr>
          <w:p w14:paraId="2713193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两件式凸面造口底盘/两件式造口袋子</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胃肠外科</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76373866"/>
      <w:bookmarkStart w:id="20" w:name="_Toc26504"/>
      <w:bookmarkStart w:id="21" w:name="_Toc30358"/>
      <w:bookmarkStart w:id="22" w:name="_Toc25496"/>
      <w:bookmarkStart w:id="23" w:name="_Toc3434"/>
      <w:bookmarkStart w:id="24" w:name="_Toc10137"/>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654"/>
      <w:bookmarkStart w:id="31" w:name="_Toc18799"/>
      <w:bookmarkStart w:id="32" w:name="_Toc7527"/>
      <w:bookmarkStart w:id="33" w:name="_Toc280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胃肠外科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胃肠外科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胃肠外科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胃肠外科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4033"/>
      <w:bookmarkStart w:id="44" w:name="_Toc25272"/>
      <w:bookmarkStart w:id="45" w:name="_Toc9714"/>
      <w:bookmarkStart w:id="46" w:name="_Toc14224"/>
      <w:bookmarkStart w:id="47" w:name="_Toc76373872"/>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26427D13">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2599"/>
      <w:bookmarkStart w:id="52" w:name="_Toc13391"/>
      <w:bookmarkStart w:id="53" w:name="_Toc11474"/>
      <w:bookmarkStart w:id="54" w:name="_Toc76373874"/>
      <w:bookmarkStart w:id="55" w:name="_Toc3153"/>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76373876"/>
      <w:bookmarkStart w:id="59" w:name="_Toc6355"/>
      <w:bookmarkStart w:id="60" w:name="_Toc29620"/>
      <w:bookmarkStart w:id="61" w:name="_Toc30465"/>
      <w:bookmarkStart w:id="62" w:name="_Toc29225"/>
      <w:bookmarkStart w:id="63" w:name="_Toc13107"/>
      <w:bookmarkStart w:id="64" w:name="_Toc1955"/>
    </w:p>
    <w:p w14:paraId="136CA2BC">
      <w:pPr>
        <w:spacing w:line="320" w:lineRule="exact"/>
        <w:ind w:left="479" w:leftChars="85" w:hanging="241" w:hangingChars="100"/>
        <w:jc w:val="left"/>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w:t>
      </w:r>
    </w:p>
    <w:p w14:paraId="665F1A12">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1、降低造口手术患者的护理难度；预裁剪型底盘，无需裁剪或塑形，根据患者造口尺寸直接使用不用裁剪，降低临床护理难度，降低因操作不规范造成护理并发症发生的风险。</w:t>
      </w:r>
    </w:p>
    <w:p w14:paraId="773EFCA5">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2、造口底盘浮动环式扣合系统，扣合造口袋时手指可伸入底盘与扣环之间，避免对腹部产生压力，预裁剪底盘无需裁剪和塑形。</w:t>
      </w:r>
    </w:p>
    <w:p w14:paraId="2DD3B98B">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3、造口底盘：黏胶成分含有天然成分的亲水性多聚物为及疏水性多聚物等组成。</w:t>
      </w:r>
    </w:p>
    <w:p w14:paraId="27939D80">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4、二件式肠造口袋子：开口袋，透明袋，有腰带卡扣。</w:t>
      </w:r>
    </w:p>
    <w:p w14:paraId="5E52B73A">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5、造口腰带，附带固定盘，可360度调整方向，不受底盘及造口袋佩戴方向的限制，一件式造口袋也可使用，降低渗漏风险。</w:t>
      </w:r>
    </w:p>
    <w:p w14:paraId="5561A45D">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6、诊疗项目名称：造口护理。</w:t>
      </w:r>
    </w:p>
    <w:p w14:paraId="6BD57247">
      <w:pPr>
        <w:pStyle w:val="3"/>
        <w:ind w:left="0" w:leftChars="0" w:firstLine="0" w:firstLineChars="0"/>
        <w:jc w:val="both"/>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4122"/>
      <w:bookmarkStart w:id="67" w:name="_Toc17944"/>
      <w:bookmarkStart w:id="68" w:name="_Toc4791"/>
      <w:bookmarkStart w:id="69" w:name="_Toc15650"/>
      <w:bookmarkStart w:id="70" w:name="_Toc17524"/>
      <w:bookmarkStart w:id="71" w:name="_Toc76373878"/>
      <w:bookmarkStart w:id="72" w:name="_Toc1768"/>
      <w:bookmarkStart w:id="73" w:name="_Toc31843"/>
      <w:bookmarkStart w:id="74" w:name="_Toc2072"/>
      <w:bookmarkStart w:id="75" w:name="_Toc779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14311"/>
      <w:bookmarkStart w:id="79" w:name="_Toc9339"/>
      <w:bookmarkStart w:id="80" w:name="_Toc30551"/>
      <w:bookmarkStart w:id="81" w:name="_Toc29836"/>
      <w:bookmarkStart w:id="82" w:name="_Toc5959"/>
      <w:bookmarkStart w:id="83" w:name="_Toc76373879"/>
      <w:bookmarkStart w:id="84" w:name="_Toc13528"/>
      <w:bookmarkStart w:id="85" w:name="_Toc1690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258"/>
      <w:bookmarkStart w:id="88" w:name="_Toc27893"/>
      <w:bookmarkStart w:id="89" w:name="_Toc20772"/>
      <w:bookmarkStart w:id="90" w:name="_Toc76373885"/>
      <w:bookmarkStart w:id="91" w:name="_Toc12384"/>
      <w:bookmarkStart w:id="92" w:name="_Toc27737"/>
      <w:bookmarkStart w:id="93" w:name="_Toc20263"/>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3699"/>
      <w:bookmarkStart w:id="95" w:name="_Toc7115"/>
      <w:bookmarkStart w:id="96" w:name="_Toc11052"/>
      <w:bookmarkStart w:id="97" w:name="_Toc28189"/>
      <w:bookmarkStart w:id="98" w:name="_Toc76373886"/>
      <w:bookmarkStart w:id="99" w:name="_Toc1271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31293"/>
      <w:bookmarkStart w:id="102" w:name="_Toc9147"/>
      <w:bookmarkStart w:id="103" w:name="_Toc5535"/>
      <w:bookmarkStart w:id="104" w:name="_Toc26754"/>
      <w:bookmarkStart w:id="105" w:name="_Toc13585"/>
      <w:bookmarkStart w:id="106" w:name="_Toc19809"/>
      <w:bookmarkStart w:id="107" w:name="_Toc76373887"/>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根据《关于推动解决政府采购异常低价问题的通知》财库〔2026〕2号文件规定</w:t>
      </w:r>
      <w:r>
        <w:rPr>
          <w:rFonts w:hint="eastAsia" w:ascii="宋体" w:hAnsi="宋体" w:cs="宋体"/>
          <w:color w:val="auto"/>
          <w:sz w:val="24"/>
          <w:szCs w:val="24"/>
          <w:lang w:eastAsia="zh-CN"/>
        </w:rPr>
        <w:t>，</w:t>
      </w:r>
      <w:r>
        <w:rPr>
          <w:rFonts w:hint="eastAsia" w:ascii="宋体" w:hAnsi="宋体" w:cs="宋体"/>
          <w:color w:val="auto"/>
          <w:sz w:val="24"/>
          <w:szCs w:val="24"/>
        </w:rPr>
        <w:t>院内采购小组及评审专家当将其作为无效竞选处理。</w:t>
      </w:r>
    </w:p>
    <w:p w14:paraId="4DDD785C">
      <w:pPr>
        <w:spacing w:line="400" w:lineRule="exact"/>
        <w:outlineLvl w:val="1"/>
        <w:rPr>
          <w:rFonts w:hint="eastAsia" w:cs="宋体"/>
          <w:b/>
          <w:color w:val="auto"/>
          <w:sz w:val="24"/>
        </w:rPr>
      </w:pPr>
      <w:bookmarkStart w:id="108" w:name="_Toc2900"/>
      <w:bookmarkStart w:id="109" w:name="_Toc76373889"/>
      <w:bookmarkStart w:id="110" w:name="_Toc8546"/>
      <w:bookmarkStart w:id="111" w:name="_Toc16925"/>
      <w:bookmarkStart w:id="112" w:name="_Toc5251"/>
      <w:bookmarkStart w:id="113" w:name="_Toc30068"/>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11654"/>
      <w:bookmarkStart w:id="117" w:name="_Toc11342"/>
      <w:bookmarkStart w:id="118" w:name="_Toc76373890"/>
      <w:bookmarkStart w:id="119" w:name="_Toc26071"/>
      <w:bookmarkStart w:id="120" w:name="_Toc20034"/>
      <w:bookmarkStart w:id="121" w:name="_Toc27443"/>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76373891"/>
      <w:bookmarkStart w:id="124" w:name="_Toc10864"/>
      <w:bookmarkStart w:id="125" w:name="_Toc25199"/>
      <w:bookmarkStart w:id="126" w:name="_Toc27646"/>
      <w:bookmarkStart w:id="127" w:name="_Toc20391"/>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76373904"/>
      <w:bookmarkStart w:id="136" w:name="_Toc10152"/>
      <w:bookmarkStart w:id="137" w:name="_Toc19409"/>
      <w:bookmarkStart w:id="138" w:name="_Toc24088"/>
      <w:bookmarkStart w:id="139" w:name="_Toc2975"/>
      <w:bookmarkStart w:id="140" w:name="_Toc20762"/>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2863"/>
      <w:bookmarkStart w:id="142" w:name="_Toc76373907"/>
      <w:bookmarkStart w:id="143" w:name="_Toc11763"/>
      <w:bookmarkStart w:id="144" w:name="_Toc7750"/>
      <w:bookmarkStart w:id="145" w:name="_Toc16112"/>
      <w:bookmarkStart w:id="146" w:name="_Toc11892"/>
      <w:bookmarkStart w:id="147" w:name="_Toc25920"/>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w:t>
      </w:r>
      <w:r>
        <w:rPr>
          <w:rFonts w:hint="eastAsia" w:ascii="宋体" w:hAnsi="宋体" w:cs="宋体"/>
          <w:color w:val="auto"/>
          <w:sz w:val="24"/>
          <w:lang w:val="en-US" w:eastAsia="zh-CN"/>
        </w:rPr>
        <w:t>加盖鲜</w:t>
      </w:r>
      <w:r>
        <w:rPr>
          <w:rFonts w:hint="eastAsia" w:ascii="宋体" w:hAnsi="宋体" w:cs="宋体"/>
          <w:color w:val="auto"/>
          <w:sz w:val="24"/>
        </w:rPr>
        <w:t>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3094"/>
      <w:bookmarkStart w:id="156" w:name="_Toc10063"/>
      <w:bookmarkStart w:id="157" w:name="_Toc22827"/>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7306"/>
      <w:bookmarkStart w:id="170" w:name="_Toc9795"/>
      <w:bookmarkStart w:id="171" w:name="_Toc21431"/>
      <w:bookmarkStart w:id="172" w:name="_Toc493178790"/>
      <w:bookmarkStart w:id="173" w:name="_Toc21830"/>
      <w:bookmarkStart w:id="174" w:name="_Toc76373909"/>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16487"/>
      <w:bookmarkStart w:id="179" w:name="_Toc20258"/>
      <w:bookmarkStart w:id="180" w:name="_Toc12647"/>
      <w:bookmarkStart w:id="181" w:name="_Toc20875"/>
      <w:bookmarkStart w:id="182" w:name="_Toc411"/>
      <w:bookmarkStart w:id="183" w:name="_Toc493178791"/>
      <w:bookmarkStart w:id="184" w:name="_Toc492721039"/>
      <w:bookmarkStart w:id="185" w:name="_Toc76373910"/>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2026</w:t>
      </w:r>
      <w:bookmarkStart w:id="197" w:name="_GoBack"/>
      <w:bookmarkEnd w:id="197"/>
      <w:r>
        <w:rPr>
          <w:rFonts w:hint="eastAsia" w:ascii="宋体" w:hAnsi="宋体" w:eastAsia="宋体" w:cs="宋体"/>
          <w:color w:val="auto"/>
          <w:kern w:val="2"/>
          <w:sz w:val="24"/>
          <w:szCs w:val="28"/>
          <w:lang w:val="en-US" w:eastAsia="zh-CN" w:bidi="ar-SA"/>
        </w:rPr>
        <w:t>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93178793"/>
      <w:bookmarkStart w:id="188" w:name="_Toc19291"/>
      <w:bookmarkStart w:id="189" w:name="_Toc20605"/>
      <w:bookmarkStart w:id="190" w:name="_Toc4250"/>
      <w:bookmarkStart w:id="191" w:name="_Toc76373912"/>
      <w:bookmarkStart w:id="192" w:name="_Toc6217"/>
      <w:bookmarkStart w:id="193" w:name="_Toc8925"/>
      <w:bookmarkStart w:id="194" w:name="_Toc492721038"/>
      <w:bookmarkStart w:id="195" w:name="_Toc16151"/>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0FFBDF15">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087BD0E-F642-4E2A-84B5-DC530EC9343A}"/>
  </w:font>
  <w:font w:name="黑体">
    <w:panose1 w:val="02010609060101010101"/>
    <w:charset w:val="86"/>
    <w:family w:val="auto"/>
    <w:pitch w:val="default"/>
    <w:sig w:usb0="800002BF" w:usb1="38CF7CFA" w:usb2="00000016" w:usb3="00000000" w:csb0="00040001" w:csb1="00000000"/>
    <w:embedRegular r:id="rId2" w:fontKey="{F348FB6E-A62D-43D7-A270-965701FFD2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442FF32A-F4BB-476F-8268-95AA9439DE3C}"/>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85585DCE-D358-4544-8B8A-7F0256D44D53}"/>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FF9B8849-805E-46F0-AD53-B4CB73B38B36}"/>
  </w:font>
  <w:font w:name="方正黑体_GBK">
    <w:panose1 w:val="03000509000000000000"/>
    <w:charset w:val="86"/>
    <w:family w:val="script"/>
    <w:pitch w:val="default"/>
    <w:sig w:usb0="00000001" w:usb1="080E0000" w:usb2="00000000" w:usb3="00000000" w:csb0="00040000" w:csb1="00000000"/>
    <w:embedRegular r:id="rId6" w:fontKey="{5AB50EF4-1255-4794-BF7C-00191C5DBACC}"/>
  </w:font>
  <w:font w:name="方正小标宋_GBK">
    <w:panose1 w:val="03000509000000000000"/>
    <w:charset w:val="86"/>
    <w:family w:val="script"/>
    <w:pitch w:val="default"/>
    <w:sig w:usb0="00000001" w:usb1="080E0000" w:usb2="00000000" w:usb3="00000000" w:csb0="00040000" w:csb1="00000000"/>
    <w:embedRegular r:id="rId7" w:fontKey="{B4B8F570-B80E-4330-A70C-3ABF6FF64BC1}"/>
  </w:font>
  <w:font w:name="微软雅黑">
    <w:panose1 w:val="020B0503020204020204"/>
    <w:charset w:val="86"/>
    <w:family w:val="swiss"/>
    <w:pitch w:val="default"/>
    <w:sig w:usb0="80000287" w:usb1="2ACF3C50" w:usb2="00000016" w:usb3="00000000" w:csb0="0004001F" w:csb1="00000000"/>
    <w:embedRegular r:id="rId8" w:fontKey="{51703A59-7E47-41B6-9A88-8DB69C8DAD26}"/>
  </w:font>
  <w:font w:name="仿宋">
    <w:panose1 w:val="02010609060101010101"/>
    <w:charset w:val="86"/>
    <w:family w:val="modern"/>
    <w:pitch w:val="default"/>
    <w:sig w:usb0="800002BF" w:usb1="38CF7CFA" w:usb2="00000016" w:usb3="00000000" w:csb0="00040001" w:csb1="00000000"/>
    <w:embedRegular r:id="rId9" w:fontKey="{FB3CEFB0-AF15-4ACF-AC09-EDDCB1397DD4}"/>
  </w:font>
  <w:font w:name="楷体">
    <w:panose1 w:val="02010609060101010101"/>
    <w:charset w:val="86"/>
    <w:family w:val="modern"/>
    <w:pitch w:val="default"/>
    <w:sig w:usb0="800002BF" w:usb1="38CF7CFA" w:usb2="00000016" w:usb3="00000000" w:csb0="00040001" w:csb1="00000000"/>
    <w:embedRegular r:id="rId10" w:fontKey="{A0D09F9D-DA73-4DA5-A643-99E5F668D1DF}"/>
  </w:font>
  <w:font w:name="WPSEMBED143">
    <w:panose1 w:val="03000509000000000000"/>
    <w:charset w:val="86"/>
    <w:family w:val="auto"/>
    <w:pitch w:val="default"/>
    <w:sig w:usb0="00000001" w:usb1="080E0000" w:usb2="00000000" w:usb3="00000000" w:csb0="00040000" w:csb1="00000000"/>
  </w:font>
  <w:font w:name="WPSEMBED144">
    <w:panose1 w:val="03000509000000000000"/>
    <w:charset w:val="86"/>
    <w:family w:val="auto"/>
    <w:pitch w:val="default"/>
    <w:sig w:usb0="00000001" w:usb1="080E0000" w:usb2="00000000" w:usb3="00000000" w:csb0="00040000" w:csb1="00000000"/>
  </w:font>
  <w:font w:name="WPSEMBED141">
    <w:panose1 w:val="02010609030101010101"/>
    <w:charset w:val="86"/>
    <w:family w:val="auto"/>
    <w:pitch w:val="default"/>
    <w:sig w:usb0="00000001" w:usb1="080E0000" w:usb2="00000000" w:usb3="00000000" w:csb0="00040000" w:csb1="00000000"/>
  </w:font>
  <w:font w:name="WPSEMBED145">
    <w:panose1 w:val="03000509000000000000"/>
    <w:charset w:val="86"/>
    <w:family w:val="auto"/>
    <w:pitch w:val="default"/>
    <w:sig w:usb0="00000001" w:usb1="080E0000" w:usb2="00000000" w:usb3="00000000" w:csb0="00040000" w:csb1="00000000"/>
  </w:font>
  <w:font w:name="WPSEMBED142">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A74F01"/>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786E19"/>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901E58"/>
    <w:rsid w:val="15BE1509"/>
    <w:rsid w:val="15E2587E"/>
    <w:rsid w:val="16B60DAC"/>
    <w:rsid w:val="16B76298"/>
    <w:rsid w:val="16D01B7A"/>
    <w:rsid w:val="16D71809"/>
    <w:rsid w:val="17555641"/>
    <w:rsid w:val="17957DD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2477F2"/>
    <w:rsid w:val="2433701E"/>
    <w:rsid w:val="24396D35"/>
    <w:rsid w:val="244D0366"/>
    <w:rsid w:val="2483014E"/>
    <w:rsid w:val="24C70583"/>
    <w:rsid w:val="24EC5DD1"/>
    <w:rsid w:val="24FE0AAE"/>
    <w:rsid w:val="250133CD"/>
    <w:rsid w:val="2524556B"/>
    <w:rsid w:val="25494FC2"/>
    <w:rsid w:val="257D44A6"/>
    <w:rsid w:val="25A477D9"/>
    <w:rsid w:val="25A53AC0"/>
    <w:rsid w:val="25A86641"/>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3F6EE4"/>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B62C95"/>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945C1B"/>
    <w:rsid w:val="33AA1331"/>
    <w:rsid w:val="34201B1F"/>
    <w:rsid w:val="34500549"/>
    <w:rsid w:val="34620C63"/>
    <w:rsid w:val="34780FBD"/>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0263EE"/>
    <w:rsid w:val="38245A2E"/>
    <w:rsid w:val="384D607D"/>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C725D3"/>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74EA2"/>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9230A3"/>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BF40CD"/>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33A22"/>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095608"/>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6A6877"/>
    <w:rsid w:val="60870181"/>
    <w:rsid w:val="60925BF2"/>
    <w:rsid w:val="60A23FED"/>
    <w:rsid w:val="60AC5FCD"/>
    <w:rsid w:val="60E94998"/>
    <w:rsid w:val="61314F95"/>
    <w:rsid w:val="61623540"/>
    <w:rsid w:val="616B1851"/>
    <w:rsid w:val="617C1E18"/>
    <w:rsid w:val="624A0A6B"/>
    <w:rsid w:val="624B2E2A"/>
    <w:rsid w:val="625A315D"/>
    <w:rsid w:val="627529DC"/>
    <w:rsid w:val="629417F0"/>
    <w:rsid w:val="62BA27A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54B99"/>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A3330D"/>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9FF36E3"/>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D76D83"/>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3461</Words>
  <Characters>3539</Characters>
  <Lines>101</Lines>
  <Paragraphs>28</Paragraphs>
  <TotalTime>0</TotalTime>
  <ScaleCrop>false</ScaleCrop>
  <LinksUpToDate>false</LinksUpToDate>
  <CharactersWithSpaces>3634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2026-05-14T08:08:54Z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eyJoZGlkIjoiMzc1OGNlMDJlMzRlMzMzYmE1ZjU3MzU3ZjgyMjI5MWIiLCJ1c2VySWQiOiIxMjgyNDcwNjU2In0=</vt:lpwstr>
  </property>
</Properties>
</file>