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0059"/>
      <w:bookmarkStart w:id="2" w:name="_Toc76373863"/>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15376"/>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F761C42">
      <w:pPr>
        <w:widowControl/>
        <w:spacing w:line="400" w:lineRule="exact"/>
        <w:ind w:firstLine="48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超浓缩医用酶清洗剂</w:t>
      </w:r>
      <w:r>
        <w:rPr>
          <w:rFonts w:hint="eastAsia" w:cs="Times New Roman"/>
          <w:color w:val="000000"/>
          <w:sz w:val="24"/>
          <w:szCs w:val="24"/>
          <w:lang w:val="en-US" w:eastAsia="zh-CN"/>
        </w:rPr>
        <w:t>、</w:t>
      </w:r>
      <w:r>
        <w:rPr>
          <w:rFonts w:hint="eastAsia" w:ascii="宋体" w:hAnsi="宋体" w:eastAsia="宋体" w:cs="宋体"/>
          <w:i w:val="0"/>
          <w:iCs w:val="0"/>
          <w:color w:val="000000"/>
          <w:kern w:val="0"/>
          <w:sz w:val="22"/>
          <w:szCs w:val="22"/>
          <w:u w:val="none"/>
          <w:lang w:val="en-US" w:eastAsia="zh-CN" w:bidi="ar"/>
        </w:rPr>
        <w:t>医用润滑剂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超浓缩医用碱性清洗剂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环氧乙烷快速生物测试包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过氧化氢低温等离子灭菌超快速生物指示剂</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22707"/>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超浓缩医用酶清洗剂</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消毒供应中心、消化、胃肠、感染、超声、呼吸</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keepNext w:val="0"/>
              <w:keepLines w:val="0"/>
              <w:widowControl/>
              <w:suppressLineNumbers w:val="0"/>
              <w:jc w:val="both"/>
              <w:textAlignment w:val="center"/>
              <w:rPr>
                <w:rFonts w:hint="eastAsia"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医用润滑剂</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7CCBFB15">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消毒供应中心</w:t>
            </w:r>
          </w:p>
        </w:tc>
      </w:tr>
      <w:tr w14:paraId="3E2B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8689E97">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8024A91">
            <w:pPr>
              <w:keepNext w:val="0"/>
              <w:keepLines w:val="0"/>
              <w:widowControl/>
              <w:suppressLineNumbers w:val="0"/>
              <w:jc w:val="both"/>
              <w:textAlignment w:val="center"/>
              <w:rPr>
                <w:rFonts w:hint="eastAsia"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超浓缩医用碱性清洗剂</w:t>
            </w:r>
          </w:p>
        </w:tc>
        <w:tc>
          <w:tcPr>
            <w:tcW w:w="1327" w:type="dxa"/>
            <w:noWrap w:val="0"/>
            <w:vAlign w:val="center"/>
          </w:tcPr>
          <w:p w14:paraId="0CC322EF">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EB0DC80">
            <w:pPr>
              <w:spacing w:before="120" w:beforeLines="50" w:beforeAutospacing="0" w:after="0" w:afterAutospacing="0" w:line="400" w:lineRule="exact"/>
              <w:jc w:val="center"/>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39E772AA">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消毒供应中心</w:t>
            </w:r>
          </w:p>
        </w:tc>
      </w:tr>
      <w:tr w14:paraId="4525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038B27E">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EAB9483">
            <w:pPr>
              <w:keepNext w:val="0"/>
              <w:keepLines w:val="0"/>
              <w:widowControl/>
              <w:suppressLineNumbers w:val="0"/>
              <w:jc w:val="both"/>
              <w:textAlignment w:val="center"/>
              <w:rPr>
                <w:rFonts w:hint="eastAsia"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环氧乙烷快速生物测试包</w:t>
            </w:r>
          </w:p>
        </w:tc>
        <w:tc>
          <w:tcPr>
            <w:tcW w:w="1327" w:type="dxa"/>
            <w:noWrap w:val="0"/>
            <w:vAlign w:val="center"/>
          </w:tcPr>
          <w:p w14:paraId="75AD375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1A13E5A">
            <w:pPr>
              <w:spacing w:before="120" w:beforeLines="50" w:beforeAutospacing="0" w:after="0" w:afterAutospacing="0" w:line="400" w:lineRule="exact"/>
              <w:jc w:val="center"/>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2553A537">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消毒供应中心</w:t>
            </w:r>
          </w:p>
        </w:tc>
      </w:tr>
      <w:tr w14:paraId="798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30BE814">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0CBA0F91">
            <w:pPr>
              <w:keepNext w:val="0"/>
              <w:keepLines w:val="0"/>
              <w:widowControl/>
              <w:suppressLineNumbers w:val="0"/>
              <w:jc w:val="left"/>
              <w:textAlignment w:val="center"/>
              <w:rPr>
                <w:rFonts w:hint="eastAsia"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过氧化氢低温等离子灭菌超快速生物指示剂</w:t>
            </w:r>
          </w:p>
        </w:tc>
        <w:tc>
          <w:tcPr>
            <w:tcW w:w="1327" w:type="dxa"/>
            <w:noWrap w:val="0"/>
            <w:vAlign w:val="center"/>
          </w:tcPr>
          <w:p w14:paraId="331F15C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6E7255B">
            <w:pPr>
              <w:spacing w:before="120" w:beforeLines="50" w:beforeAutospacing="0" w:after="0" w:afterAutospacing="0" w:line="400" w:lineRule="exact"/>
              <w:jc w:val="center"/>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4061DC5D">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消毒供应中心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3434"/>
      <w:bookmarkStart w:id="21" w:name="_Toc76373866"/>
      <w:bookmarkStart w:id="22" w:name="_Toc10137"/>
      <w:bookmarkStart w:id="23" w:name="_Toc2650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7527"/>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消毒供应中心包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消毒供应中心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消毒供应中心</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消毒供应中心</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4033"/>
      <w:bookmarkStart w:id="45" w:name="_Toc9714"/>
      <w:bookmarkStart w:id="46" w:name="_Toc14224"/>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13391"/>
      <w:bookmarkStart w:id="53" w:name="_Toc76373874"/>
      <w:bookmarkStart w:id="54" w:name="_Toc2599"/>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76373876"/>
      <w:bookmarkStart w:id="60" w:name="_Toc29225"/>
      <w:bookmarkStart w:id="61" w:name="_Toc30465"/>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D9F69D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用途：广泛用于去除手术器械与医疗用品上的蛋白质与脂类等污渍。可以去除血、蛋白质、粘液和脂类等顽渍，适用于手术器械、软式内镜、硬式内镜、达芬奇手术器械、呼吸管道及其它医疗用品的清洗。适用于机洗和手洗。</w:t>
      </w:r>
    </w:p>
    <w:p w14:paraId="6C0656E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参数：适配于医院现有的单腔和长龙清洗消毒机</w:t>
      </w:r>
    </w:p>
    <w:p w14:paraId="571DF95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1.清洗配方及功效：含酶配方、表面活性及螯合剂，可迅速分解蛋白质、脂肪、碳水化合物等有机污垢；</w:t>
      </w:r>
    </w:p>
    <w:p w14:paraId="1C307C7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2.超浓缩医用多酶清洗剂为无泡或低泡型，易于漂洗干净；无残留：器械清洗后应光亮、清洁无残留白斑，清洗机内壁无残留白斑；</w:t>
      </w:r>
    </w:p>
    <w:p w14:paraId="60F4B13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清洗配比：超浓缩型，稀释比例1：1000(1L水加入1m1原液)；价格比较与单位使用成本计算（按每升水消耗的酶的原液计算成本）；材质兼容性：需与各种手术器械的材质，如金属类、软金属、内镜材质，铝、阳极氧化铝及塑料类材料的兼容性等并提供检测报告，提供直观复星机器人厂家认证清洗兼容性报告，提供证明文件；</w:t>
      </w:r>
    </w:p>
    <w:p w14:paraId="301028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4.活性随水温增加而升高，但不能超高≤60度，清洗效果更彻底。对环境和人员无害，提供相关报告；具有抑菌作用：提供相关报告。</w:t>
      </w:r>
    </w:p>
    <w:p w14:paraId="7589912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5.pH值及密度：中性pH值，常规密度≤1.06左右。</w:t>
      </w:r>
    </w:p>
    <w:p w14:paraId="2F524A8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6.CE认证：具有CE认证，IS0认证及提供CFG文件。</w:t>
      </w:r>
    </w:p>
    <w:p w14:paraId="67B22FE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提供以T/WSID002-2019《医用清洗剂卫生要求》为评价依据通过第三方检测机构出具的所投产品使用稀释比例对萌血悬液中细菌去除率&gt;99%，且ATP含量下降率&gt;99%的检测报告。模拟生物膜ATP含量减少值&gt;90%。对于金黄色葡萄球菌、大肠杆菌、铜绿假单胞菌的杀菌率均&gt;90%的检测报告。</w:t>
      </w:r>
    </w:p>
    <w:p w14:paraId="468481A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8.提供以T/WSJD002-2019《医用清洗剂卫生要求》为评价依据通过第三方检测机构出具的所投产品毒性分级属实际无毒、刺激强度属无刺激性、未见皮肤变态反应的检测报告。</w:t>
      </w:r>
    </w:p>
    <w:p w14:paraId="3468CE4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9.提供厂家ISO9001</w:t>
      </w:r>
      <w:r>
        <w:rPr>
          <w:rFonts w:hint="eastAsia" w:cs="Times New Roman"/>
          <w:i w:val="0"/>
          <w:kern w:val="2"/>
          <w:sz w:val="24"/>
          <w:szCs w:val="24"/>
          <w:lang w:val="en-US" w:eastAsia="zh-CN" w:bidi="ar-SA"/>
        </w:rPr>
        <w:t>，</w:t>
      </w:r>
      <w:r>
        <w:rPr>
          <w:rFonts w:hint="default" w:ascii="Times New Roman" w:hAnsi="Times New Roman" w:eastAsia="宋体" w:cs="Times New Roman"/>
          <w:i w:val="0"/>
          <w:kern w:val="2"/>
          <w:sz w:val="24"/>
          <w:szCs w:val="24"/>
          <w:lang w:val="en-US" w:eastAsia="zh-CN" w:bidi="ar-SA"/>
        </w:rPr>
        <w:t>ISO13485 质量管理体系认证报告.</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市场用户：投标产品在重庆市场三甲医院用户达到5家以上。提供近0.6-1年供货发票或合同复印件。</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C6CB76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用于手术器械清洗后、灭菌使用前使用，润滑和保护需要上油的手术器械，增加手术器械的使用循环，适用于清洗机润滑或手工润滑。润滑保养：可有效渗透至器械关节，并在器械表面形成保护膜，防止生锈。</w:t>
      </w:r>
    </w:p>
    <w:p w14:paraId="6FAC5E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参数：适配于医院现有的单腔和长龙清洗消毒机</w:t>
      </w:r>
    </w:p>
    <w:p w14:paraId="68CE8AA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1.清洗配比：稀释比例≥1：200(1L水加入5m1原液)。价格比较与单位使用成本计算（按每升水消耗的润滑剂的原液计算成本）产品不含硅，不阻碍蒸汽和E0穿透。水溶性强,不影响灭菌因子的穿透。</w:t>
      </w:r>
    </w:p>
    <w:p w14:paraId="27408E5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2.保护剂：内含保护剂，保证已经处理的器械不易滋生微生物。内含保护剂，保证已处理的器械不易滋生微生物，配好的溶液抑菌可达到14-28天，提供相关报告。</w:t>
      </w:r>
    </w:p>
    <w:p w14:paraId="794F62E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3.pH值：中性pH值，可适用于不锈钢和铝制器械。生物降解：其降解物不会造成环境污染，需提供相应认证。</w:t>
      </w:r>
    </w:p>
    <w:p w14:paraId="66E9C8A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4.具有CE认证，IS0认证及提供CFG文件。</w:t>
      </w:r>
    </w:p>
    <w:p w14:paraId="64836FB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5.投标产品在重庆市场三甲医院用户达到5家以上。提供近0.6-1年供货发票或合同复印件‌‌</w:t>
      </w:r>
      <w:r>
        <w:rPr>
          <w:rFonts w:hint="default" w:ascii="Times New Roman" w:hAnsi="Times New Roman" w:eastAsia="宋体" w:cs="Times New Roman"/>
          <w:i w:val="0"/>
          <w:kern w:val="2"/>
          <w:sz w:val="24"/>
          <w:szCs w:val="24"/>
          <w:lang w:val="en-US" w:eastAsia="zh-CN" w:bidi="ar-SA"/>
        </w:rPr>
        <w:t>。</w:t>
      </w:r>
    </w:p>
    <w:p w14:paraId="6E30D32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393E3D51">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4F71E6C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用途：产品用途：有效去除手术器械和其他医疗用品的脂肪、蛋白质、多糖类、糖液、血渍等表面污渍，使器械光亮如新。产品为安全碱，不含酶，使用过程不需要中和剂。适用于机洗和手洗。清洗配方及功效：表面活性剂、整合剂，对血液、粘液、蛋白去除力优异，更可清除如骨科手术等污染重、难以去除的污溃；不同的螯合剂系统及器械保护剂，防止器械被腐蚀、氧化，延长器械使用寿命。</w:t>
      </w:r>
    </w:p>
    <w:p w14:paraId="0E29592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参数：适配于医院现有的单腔和长龙清洗消毒机</w:t>
      </w:r>
    </w:p>
    <w:p w14:paraId="00A8B96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1.超浓缩医用碱性清洗剂为无泡或低泡型，易于漂洗干净；器械清洗后应光亮、清洁无残留白斑，清洗机内壁无残留白斑；清洗配比：超浓缩型，稀释比例1：100(1L水加入lm</w:t>
      </w:r>
      <w:r>
        <w:rPr>
          <w:rFonts w:hint="eastAsia" w:cs="Times New Roman"/>
          <w:i w:val="0"/>
          <w:kern w:val="2"/>
          <w:sz w:val="24"/>
          <w:szCs w:val="24"/>
          <w:lang w:val="en-US" w:eastAsia="zh-CN" w:bidi="ar-SA"/>
        </w:rPr>
        <w:t>L</w:t>
      </w:r>
      <w:r>
        <w:rPr>
          <w:rFonts w:hint="default" w:ascii="Times New Roman" w:hAnsi="Times New Roman" w:eastAsia="宋体" w:cs="Times New Roman"/>
          <w:i w:val="0"/>
          <w:kern w:val="2"/>
          <w:sz w:val="24"/>
          <w:szCs w:val="24"/>
          <w:lang w:val="en-US" w:eastAsia="zh-CN" w:bidi="ar-SA"/>
        </w:rPr>
        <w:t>原液)价格比较与单位使用成本计算。（按每升水消耗的碱的原液计算成本）；</w:t>
      </w:r>
    </w:p>
    <w:p w14:paraId="15B1BE0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2.材质兼容性：需与各种手术器械的材质，如金属类、软金属、内镜材质、铝、阳极氧化铝及塑料类材料的兼容性等，需提供报告说明。</w:t>
      </w:r>
    </w:p>
    <w:p w14:paraId="038C32F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3.高效清洗系统及效果对比：本品活性随水温增加而升高，温度达到65度清洗效果更彻底。</w:t>
      </w:r>
    </w:p>
    <w:p w14:paraId="0EC77B8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4.生物降解：对环境和人员无害，提供相关报告；抑菌作用：提供相关报告。</w:t>
      </w:r>
    </w:p>
    <w:p w14:paraId="6CAF129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5.pH值碱性（安全碱性范围），无需中和，提供检测报告；</w:t>
      </w:r>
    </w:p>
    <w:p w14:paraId="62C1C5E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6.CE认证：具有CE认证，IS0认证及提供CFG文件。</w:t>
      </w:r>
    </w:p>
    <w:p w14:paraId="4602A0B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提供以T/WSJD002-2019《医用清洗剂卫生要求》为评价依据通过第三方检测机构出具的所投产品，模拟生物膜ATP含量减少值均&gt;90%。对大肠杆菌、铜绿假单胞菌和金黄色葡萄球菌杀灭检测报告。对菌血悬液中细菌去除率&gt;99%6，且ATP含量下降率&gt;99%的检测报告</w:t>
      </w:r>
    </w:p>
    <w:p w14:paraId="3F7C018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8.提供以T/WSJD002-2019《医用清洗剂卫生要求》为评价依据通过第三方检测机构出具的所投产品毒性分级属实际无毒、刺激强度属无刺激性、未见皮肤变态反应的检测报告。</w:t>
      </w:r>
    </w:p>
    <w:p w14:paraId="35A3403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9.提供超浓缩碱性清洁剂去除阮毒体的检测报告或者实验</w:t>
      </w:r>
      <w:r>
        <w:rPr>
          <w:rFonts w:hint="eastAsia" w:cs="Times New Roman"/>
          <w:i w:val="0"/>
          <w:kern w:val="2"/>
          <w:sz w:val="24"/>
          <w:szCs w:val="24"/>
          <w:lang w:val="en-US" w:eastAsia="zh-CN" w:bidi="ar-SA"/>
        </w:rPr>
        <w:t>。</w:t>
      </w:r>
    </w:p>
    <w:p w14:paraId="31625BB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10.投标产品在重庆市场三甲医院用户达到5家以上。提供近0.6-1年供货发票或合同复印件‌。</w:t>
      </w:r>
    </w:p>
    <w:p w14:paraId="7A274C32">
      <w:pPr>
        <w:pStyle w:val="2"/>
        <w:rPr>
          <w:rFonts w:hint="default"/>
          <w:lang w:val="en-US" w:eastAsia="zh-CN"/>
        </w:rPr>
      </w:pPr>
    </w:p>
    <w:p w14:paraId="4D98B636">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4CC9724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适用于环氧乙烷灭菌的快速生物监测，可监测环氧乙烷（包括100%纯环氧乙烷气体和环氧乙烷混合气体）灭菌效果。在自动阅读器内培养阳性对照和已灭菌的生物指示剂小于或等于4小时，4小时内可以得到阳性结果，最终阴性判读在4小时做出。</w:t>
      </w:r>
    </w:p>
    <w:p w14:paraId="2ABF6C5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参数：适配于医院现有的环氧乙烷快速阅读器</w:t>
      </w:r>
    </w:p>
    <w:p w14:paraId="4C7E9DF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1.每批次应进行生物监测，生物监测阴性出结果时间≤4h；</w:t>
      </w:r>
    </w:p>
    <w:p w14:paraId="49076D9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2.菌片为枯草杆菌变种芽孢，符合ISO以及WS310相关要求；</w:t>
      </w:r>
    </w:p>
    <w:p w14:paraId="21FC3DD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3.安瓿瓶中内含芽孢生长所需充足的培养液和非荧光底物；</w:t>
      </w:r>
    </w:p>
    <w:p w14:paraId="6F821E7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4.快速生物监测结果与7天可视PH颜色变化结果一致性＞97%；</w:t>
      </w:r>
    </w:p>
    <w:p w14:paraId="0CC8234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5.一次性设计和使用，避免手工打包和人为因素影响；</w:t>
      </w:r>
    </w:p>
    <w:p w14:paraId="0CE7230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6.监测包应1：1配备阳性对照管，方便1：1进行阳性对照；</w:t>
      </w:r>
    </w:p>
    <w:p w14:paraId="14FEFC6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7.具备中国消毒产品安全评价报告；</w:t>
      </w:r>
    </w:p>
    <w:p w14:paraId="579A0E4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8.投标产品在重庆市场三甲医院用户达到5家以上。提供0.6-1年供货发票或合同复印件‌</w:t>
      </w:r>
      <w:r>
        <w:rPr>
          <w:rFonts w:hint="default" w:ascii="Times New Roman" w:hAnsi="Times New Roman" w:eastAsia="宋体" w:cs="Times New Roman"/>
          <w:i w:val="0"/>
          <w:kern w:val="2"/>
          <w:sz w:val="24"/>
          <w:szCs w:val="24"/>
          <w:lang w:val="en-US" w:eastAsia="zh-CN" w:bidi="ar-SA"/>
        </w:rPr>
        <w:t>。</w:t>
      </w:r>
    </w:p>
    <w:p w14:paraId="0806462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5BD275B">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73F4061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用途：适用于过氧化氢低温等离子体灭菌效果的快速监测。能够准确的在20-30分钟内完成快速阅读，判定灭菌结果。</w:t>
      </w:r>
    </w:p>
    <w:p w14:paraId="6035D7E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参数：适配于医院现有的超快速特锐生物阅读器</w:t>
      </w:r>
    </w:p>
    <w:p w14:paraId="530321A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使用国际认证标准菌种ATCC7953，含菌量：嗜热脂肪肝菌芽孢≥1.0×106；产品符合医疗保健产品灭菌生物指示物第1部分：通则GB18281.1-2015的要求和《过氧化氢气体灭菌生物指示物检验方法》GB/T33417-2016的要求；投标产品在重庆市场三甲医院用户达到3家以上。提供近1-2年供货发票或合同复印件‌</w:t>
      </w:r>
      <w:r>
        <w:rPr>
          <w:rFonts w:hint="default" w:ascii="Times New Roman" w:hAnsi="Times New Roman" w:eastAsia="宋体" w:cs="Times New Roman"/>
          <w:i w:val="0"/>
          <w:kern w:val="2"/>
          <w:sz w:val="24"/>
          <w:szCs w:val="24"/>
          <w:lang w:val="en-US" w:eastAsia="zh-CN" w:bidi="ar-SA"/>
        </w:rPr>
        <w:t>。</w:t>
      </w: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15650"/>
      <w:bookmarkStart w:id="68" w:name="_Toc1768"/>
      <w:bookmarkStart w:id="69" w:name="_Toc4791"/>
      <w:bookmarkStart w:id="70" w:name="_Toc2072"/>
      <w:bookmarkStart w:id="71" w:name="_Toc7794"/>
      <w:bookmarkStart w:id="72" w:name="_Toc17524"/>
      <w:bookmarkStart w:id="73" w:name="_Toc31843"/>
      <w:bookmarkStart w:id="74" w:name="_Toc2412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5959"/>
      <w:bookmarkStart w:id="79" w:name="_Toc29836"/>
      <w:bookmarkStart w:id="80" w:name="_Toc76373879"/>
      <w:bookmarkStart w:id="81" w:name="_Toc9339"/>
      <w:bookmarkStart w:id="82" w:name="_Toc14311"/>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258"/>
      <w:bookmarkStart w:id="89" w:name="_Toc27737"/>
      <w:bookmarkStart w:id="90" w:name="_Toc20263"/>
      <w:bookmarkStart w:id="91" w:name="_Toc20772"/>
      <w:bookmarkStart w:id="92" w:name="_Toc2789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6373886"/>
      <w:bookmarkStart w:id="96" w:name="_Toc11052"/>
      <w:bookmarkStart w:id="97" w:name="_Toc7115"/>
      <w:bookmarkStart w:id="98" w:name="_Toc28189"/>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31293"/>
      <w:bookmarkStart w:id="103" w:name="_Toc19809"/>
      <w:bookmarkStart w:id="104" w:name="_Toc76373887"/>
      <w:bookmarkStart w:id="105" w:name="_Toc9147"/>
      <w:bookmarkStart w:id="106" w:name="_Toc13585"/>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w:t>
      </w:r>
      <w:r>
        <w:rPr>
          <w:rFonts w:hint="eastAsia" w:ascii="宋体" w:hAnsi="宋体" w:cs="宋体"/>
          <w:color w:val="auto"/>
          <w:sz w:val="24"/>
          <w:szCs w:val="24"/>
        </w:rPr>
        <w:t>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sz w:val="24"/>
          <w:szCs w:val="24"/>
        </w:rPr>
        <w:t>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2900"/>
      <w:bookmarkStart w:id="110" w:name="_Toc76373889"/>
      <w:bookmarkStart w:id="111" w:name="_Toc30068"/>
      <w:bookmarkStart w:id="112" w:name="_Toc8546"/>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7443"/>
      <w:bookmarkStart w:id="118" w:name="_Toc20034"/>
      <w:bookmarkStart w:id="119" w:name="_Toc76373890"/>
      <w:bookmarkStart w:id="120" w:name="_Toc26071"/>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7646"/>
      <w:bookmarkStart w:id="125" w:name="_Toc20391"/>
      <w:bookmarkStart w:id="126" w:name="_Toc25199"/>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19409"/>
      <w:bookmarkStart w:id="137" w:name="_Toc20762"/>
      <w:bookmarkStart w:id="138" w:name="_Toc24088"/>
      <w:bookmarkStart w:id="139" w:name="_Toc10152"/>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25920"/>
      <w:bookmarkStart w:id="143" w:name="_Toc12863"/>
      <w:bookmarkStart w:id="144" w:name="_Toc76373907"/>
      <w:bookmarkStart w:id="145" w:name="_Toc16112"/>
      <w:bookmarkStart w:id="146" w:name="_Toc7750"/>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bookmarkStart w:id="197" w:name="_GoBack"/>
      <w:bookmarkEnd w:id="197"/>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76373909"/>
      <w:bookmarkStart w:id="171" w:name="_Toc21830"/>
      <w:bookmarkStart w:id="172" w:name="_Toc27306"/>
      <w:bookmarkStart w:id="173" w:name="_Toc21431"/>
      <w:bookmarkStart w:id="174" w:name="_Toc49317879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493178791"/>
      <w:bookmarkStart w:id="180" w:name="_Toc16487"/>
      <w:bookmarkStart w:id="181" w:name="_Toc411"/>
      <w:bookmarkStart w:id="182" w:name="_Toc20875"/>
      <w:bookmarkStart w:id="183" w:name="_Toc76373910"/>
      <w:bookmarkStart w:id="184" w:name="_Toc20258"/>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492721038"/>
      <w:bookmarkStart w:id="189" w:name="_Toc8925"/>
      <w:bookmarkStart w:id="190" w:name="_Toc4250"/>
      <w:bookmarkStart w:id="191" w:name="_Toc19291"/>
      <w:bookmarkStart w:id="192" w:name="_Toc493178793"/>
      <w:bookmarkStart w:id="193" w:name="_Toc16151"/>
      <w:bookmarkStart w:id="194" w:name="_Toc20605"/>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6281AF-A45A-4F6D-B0AE-6A0ACEBB85DC}"/>
  </w:font>
  <w:font w:name="黑体">
    <w:panose1 w:val="02010609060101010101"/>
    <w:charset w:val="86"/>
    <w:family w:val="auto"/>
    <w:pitch w:val="default"/>
    <w:sig w:usb0="800002BF" w:usb1="38CF7CFA" w:usb2="00000016" w:usb3="00000000" w:csb0="00040001" w:csb1="00000000"/>
    <w:embedRegular r:id="rId2" w:fontKey="{41532136-8501-4D3A-8350-B437024323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0C4082B-E2BA-4496-B537-90457D14B4F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3CA378C-7B8C-4563-8E66-C1015E9DA1E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EB9EAC0-11A8-4CA8-82D0-E858D6EE35B4}"/>
  </w:font>
  <w:font w:name="方正黑体_GBK">
    <w:panose1 w:val="03000509000000000000"/>
    <w:charset w:val="86"/>
    <w:family w:val="script"/>
    <w:pitch w:val="default"/>
    <w:sig w:usb0="00000001" w:usb1="080E0000" w:usb2="00000000" w:usb3="00000000" w:csb0="00040000" w:csb1="00000000"/>
    <w:embedRegular r:id="rId6" w:fontKey="{ED0AFD10-08C2-426C-9540-28775A0F39C3}"/>
  </w:font>
  <w:font w:name="方正小标宋_GBK">
    <w:panose1 w:val="03000509000000000000"/>
    <w:charset w:val="86"/>
    <w:family w:val="script"/>
    <w:pitch w:val="default"/>
    <w:sig w:usb0="00000001" w:usb1="080E0000" w:usb2="00000000" w:usb3="00000000" w:csb0="00040000" w:csb1="00000000"/>
    <w:embedRegular r:id="rId7" w:fontKey="{A6FC3FF8-C7AC-4A8B-A5DA-2FD890FEAE99}"/>
  </w:font>
  <w:font w:name="微软雅黑">
    <w:panose1 w:val="020B0503020204020204"/>
    <w:charset w:val="86"/>
    <w:family w:val="swiss"/>
    <w:pitch w:val="default"/>
    <w:sig w:usb0="80000287" w:usb1="2ACF3C50" w:usb2="00000016" w:usb3="00000000" w:csb0="0004001F" w:csb1="00000000"/>
    <w:embedRegular r:id="rId8" w:fontKey="{FB8A33CC-C77A-4F77-9222-8C74D158ABF4}"/>
  </w:font>
  <w:font w:name="仿宋">
    <w:panose1 w:val="02010609060101010101"/>
    <w:charset w:val="86"/>
    <w:family w:val="modern"/>
    <w:pitch w:val="default"/>
    <w:sig w:usb0="800002BF" w:usb1="38CF7CFA" w:usb2="00000016" w:usb3="00000000" w:csb0="00040001" w:csb1="00000000"/>
    <w:embedRegular r:id="rId9" w:fontKey="{816F2CEA-3EFB-4167-903D-96A6F7DC3B3D}"/>
  </w:font>
  <w:font w:name="楷体">
    <w:panose1 w:val="02010609060101010101"/>
    <w:charset w:val="86"/>
    <w:family w:val="modern"/>
    <w:pitch w:val="default"/>
    <w:sig w:usb0="800002BF" w:usb1="38CF7CFA" w:usb2="00000016" w:usb3="00000000" w:csb0="00040001" w:csb1="00000000"/>
    <w:embedRegular r:id="rId10" w:fontKey="{AAC4F495-E53C-44AB-9076-EEB103315555}"/>
  </w:font>
  <w:font w:name="WPSEMBED148">
    <w:panose1 w:val="03000509000000000000"/>
    <w:charset w:val="86"/>
    <w:family w:val="auto"/>
    <w:pitch w:val="default"/>
    <w:sig w:usb0="00000001" w:usb1="080E0000" w:usb2="00000000" w:usb3="00000000" w:csb0="00040000" w:csb1="00000000"/>
  </w:font>
  <w:font w:name="WPSEMBED149">
    <w:panose1 w:val="03000509000000000000"/>
    <w:charset w:val="86"/>
    <w:family w:val="auto"/>
    <w:pitch w:val="default"/>
    <w:sig w:usb0="00000001" w:usb1="080E0000" w:usb2="00000000" w:usb3="00000000" w:csb0="00040000" w:csb1="00000000"/>
  </w:font>
  <w:font w:name="WPSEMBED146">
    <w:panose1 w:val="02010609030101010101"/>
    <w:charset w:val="86"/>
    <w:family w:val="auto"/>
    <w:pitch w:val="default"/>
    <w:sig w:usb0="00000001" w:usb1="080E0000" w:usb2="00000000" w:usb3="00000000" w:csb0="00040000" w:csb1="00000000"/>
  </w:font>
  <w:font w:name="WPSEMBED150">
    <w:panose1 w:val="03000509000000000000"/>
    <w:charset w:val="86"/>
    <w:family w:val="auto"/>
    <w:pitch w:val="default"/>
    <w:sig w:usb0="00000001" w:usb1="080E0000" w:usb2="00000000" w:usb3="00000000" w:csb0="00040000" w:csb1="00000000"/>
  </w:font>
  <w:font w:name="WPSEMBED14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6917AF"/>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6004E"/>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64905"/>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CF340CA"/>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3EB54C5"/>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94531E"/>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392924"/>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734</Words>
  <Characters>759</Characters>
  <Lines>101</Lines>
  <Paragraphs>28</Paragraphs>
  <TotalTime>0</TotalTime>
  <ScaleCrop>false</ScaleCrop>
  <LinksUpToDate>false</LinksUpToDate>
  <CharactersWithSpaces>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2026-05-14T08:09:31Z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eyJoZGlkIjoiMzc1OGNlMDJlMzRlMzMzYmE1ZjU3MzU3ZjgyMjI5MWIiLCJ1c2VySWQiOiIxMjgyNDcwNjU2In0=</vt:lpwstr>
  </property>
</Properties>
</file>