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31066"/>
      <w:bookmarkStart w:id="1" w:name="_Toc1304"/>
      <w:bookmarkStart w:id="2" w:name="_Toc13868"/>
      <w:bookmarkStart w:id="3" w:name="_Toc76373863"/>
      <w:bookmarkStart w:id="4" w:name="_Toc1005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15376"/>
      <w:bookmarkStart w:id="8" w:name="_Toc28264"/>
      <w:bookmarkStart w:id="9" w:name="_Toc5909"/>
      <w:bookmarkStart w:id="10" w:name="_Toc22435"/>
      <w:bookmarkStart w:id="11" w:name="_Toc76373864"/>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449A7130">
      <w:pPr>
        <w:widowControl/>
        <w:spacing w:line="400" w:lineRule="exact"/>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eastAsia="宋体" w:cs="宋体"/>
          <w:color w:val="auto"/>
          <w:sz w:val="24"/>
          <w:szCs w:val="24"/>
          <w:lang w:val="en-US" w:eastAsia="zh-CN"/>
        </w:rPr>
        <w:t>压力微导管</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网篮导丝/圈套器</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切割球囊系统</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生物可吸收冠状动脉雷帕霉素洗脱支架系统</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血栓抽吸导管套件</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临时心脏起搏电极导线</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双极临时起搏电极导管</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漂浮导管</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129"/>
            <w:bookmarkStart w:id="15" w:name="_Toc76373865"/>
            <w:bookmarkStart w:id="16" w:name="_Toc22707"/>
            <w:bookmarkStart w:id="17" w:name="_Toc5838"/>
            <w:bookmarkStart w:id="18" w:name="_Toc18060"/>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76A6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38CE0A9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七</w:t>
            </w:r>
          </w:p>
        </w:tc>
        <w:tc>
          <w:tcPr>
            <w:tcW w:w="2298" w:type="dxa"/>
            <w:shd w:val="clear" w:color="auto" w:fill="auto"/>
            <w:noWrap w:val="0"/>
            <w:vAlign w:val="center"/>
          </w:tcPr>
          <w:p w14:paraId="7F5A7A5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压力微导管</w:t>
            </w:r>
          </w:p>
        </w:tc>
        <w:tc>
          <w:tcPr>
            <w:tcW w:w="1485" w:type="dxa"/>
            <w:shd w:val="clear" w:color="auto" w:fill="auto"/>
            <w:noWrap w:val="0"/>
            <w:vAlign w:val="center"/>
          </w:tcPr>
          <w:p w14:paraId="4D3F2231">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5594C599">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594" w:type="dxa"/>
            <w:vMerge w:val="restart"/>
            <w:noWrap w:val="0"/>
            <w:vAlign w:val="center"/>
          </w:tcPr>
          <w:p w14:paraId="62BAC92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心内科</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十四</w:t>
            </w:r>
          </w:p>
        </w:tc>
        <w:tc>
          <w:tcPr>
            <w:tcW w:w="2298" w:type="dxa"/>
            <w:shd w:val="clear" w:color="auto" w:fill="auto"/>
            <w:noWrap w:val="0"/>
            <w:vAlign w:val="center"/>
          </w:tcPr>
          <w:p w14:paraId="63087F0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网篮导丝/圈套器</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1594" w:type="dxa"/>
            <w:vMerge w:val="continue"/>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r>
      <w:tr w14:paraId="1ACB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2D709C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十五</w:t>
            </w:r>
          </w:p>
        </w:tc>
        <w:tc>
          <w:tcPr>
            <w:tcW w:w="2298" w:type="dxa"/>
            <w:shd w:val="clear" w:color="auto" w:fill="auto"/>
            <w:noWrap w:val="0"/>
            <w:vAlign w:val="center"/>
          </w:tcPr>
          <w:p w14:paraId="2FCE755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切割球囊系统</w:t>
            </w:r>
          </w:p>
        </w:tc>
        <w:tc>
          <w:tcPr>
            <w:tcW w:w="1485" w:type="dxa"/>
            <w:shd w:val="clear" w:color="auto" w:fill="auto"/>
            <w:noWrap w:val="0"/>
            <w:vAlign w:val="center"/>
          </w:tcPr>
          <w:p w14:paraId="1B47F8A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7303D9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1594" w:type="dxa"/>
            <w:vMerge w:val="continue"/>
            <w:noWrap w:val="0"/>
            <w:vAlign w:val="center"/>
          </w:tcPr>
          <w:p w14:paraId="4A9697F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462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C781EA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十七</w:t>
            </w:r>
          </w:p>
        </w:tc>
        <w:tc>
          <w:tcPr>
            <w:tcW w:w="2298" w:type="dxa"/>
            <w:shd w:val="clear" w:color="auto" w:fill="auto"/>
            <w:noWrap w:val="0"/>
            <w:vAlign w:val="center"/>
          </w:tcPr>
          <w:p w14:paraId="1EC61D4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生物可吸收冠状动脉雷帕霉素洗脱支架系统</w:t>
            </w:r>
          </w:p>
        </w:tc>
        <w:tc>
          <w:tcPr>
            <w:tcW w:w="1485" w:type="dxa"/>
            <w:shd w:val="clear" w:color="auto" w:fill="auto"/>
            <w:noWrap w:val="0"/>
            <w:vAlign w:val="center"/>
          </w:tcPr>
          <w:p w14:paraId="030F7A9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653BE20E">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594" w:type="dxa"/>
            <w:vMerge w:val="continue"/>
            <w:noWrap w:val="0"/>
            <w:vAlign w:val="center"/>
          </w:tcPr>
          <w:p w14:paraId="4C2962E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BC0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030853E6">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二十</w:t>
            </w:r>
          </w:p>
        </w:tc>
        <w:tc>
          <w:tcPr>
            <w:tcW w:w="2298" w:type="dxa"/>
            <w:shd w:val="clear" w:color="auto" w:fill="auto"/>
            <w:noWrap w:val="0"/>
            <w:vAlign w:val="center"/>
          </w:tcPr>
          <w:p w14:paraId="16F09A8C">
            <w:pPr>
              <w:widowControl/>
              <w:spacing w:line="400" w:lineRule="exact"/>
              <w:jc w:val="center"/>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血栓抽吸导管套件</w:t>
            </w:r>
          </w:p>
        </w:tc>
        <w:tc>
          <w:tcPr>
            <w:tcW w:w="1485" w:type="dxa"/>
            <w:shd w:val="clear" w:color="auto" w:fill="auto"/>
            <w:noWrap w:val="0"/>
            <w:vAlign w:val="center"/>
          </w:tcPr>
          <w:p w14:paraId="1255D6C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18A0AE9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1594" w:type="dxa"/>
            <w:vMerge w:val="restart"/>
            <w:noWrap w:val="0"/>
            <w:vAlign w:val="center"/>
          </w:tcPr>
          <w:p w14:paraId="32F0580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心内科、全科医学科、老年病科</w:t>
            </w:r>
          </w:p>
        </w:tc>
      </w:tr>
      <w:tr w14:paraId="3DF2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0B6B164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二十一</w:t>
            </w:r>
          </w:p>
        </w:tc>
        <w:tc>
          <w:tcPr>
            <w:tcW w:w="2298" w:type="dxa"/>
            <w:shd w:val="clear" w:color="auto" w:fill="auto"/>
            <w:noWrap w:val="0"/>
            <w:vAlign w:val="center"/>
          </w:tcPr>
          <w:p w14:paraId="5003A5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临时心脏起搏电极导线</w:t>
            </w:r>
          </w:p>
        </w:tc>
        <w:tc>
          <w:tcPr>
            <w:tcW w:w="1485" w:type="dxa"/>
            <w:shd w:val="clear" w:color="auto" w:fill="auto"/>
            <w:noWrap w:val="0"/>
            <w:vAlign w:val="center"/>
          </w:tcPr>
          <w:p w14:paraId="4F18C53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03418DB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594" w:type="dxa"/>
            <w:vMerge w:val="continue"/>
            <w:noWrap w:val="0"/>
            <w:vAlign w:val="center"/>
          </w:tcPr>
          <w:p w14:paraId="01E7C7E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00FF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28A9147">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二十二</w:t>
            </w:r>
          </w:p>
        </w:tc>
        <w:tc>
          <w:tcPr>
            <w:tcW w:w="2298" w:type="dxa"/>
            <w:shd w:val="clear" w:color="auto" w:fill="auto"/>
            <w:noWrap w:val="0"/>
            <w:vAlign w:val="center"/>
          </w:tcPr>
          <w:p w14:paraId="3D087E8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双极临时起搏电极导管</w:t>
            </w:r>
          </w:p>
        </w:tc>
        <w:tc>
          <w:tcPr>
            <w:tcW w:w="1485" w:type="dxa"/>
            <w:shd w:val="clear" w:color="auto" w:fill="auto"/>
            <w:noWrap w:val="0"/>
            <w:vAlign w:val="center"/>
          </w:tcPr>
          <w:p w14:paraId="131EE7F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878C306">
            <w:pPr>
              <w:pStyle w:val="52"/>
              <w:spacing w:before="120" w:beforeLines="50" w:beforeAutospacing="0" w:after="0" w:afterAutospacing="0"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594" w:type="dxa"/>
            <w:vMerge w:val="continue"/>
            <w:noWrap w:val="0"/>
            <w:vAlign w:val="center"/>
          </w:tcPr>
          <w:p w14:paraId="15A59E4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7FC9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00DC2B71">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二十三</w:t>
            </w:r>
          </w:p>
        </w:tc>
        <w:tc>
          <w:tcPr>
            <w:tcW w:w="2298" w:type="dxa"/>
            <w:shd w:val="clear" w:color="auto" w:fill="auto"/>
            <w:noWrap w:val="0"/>
            <w:vAlign w:val="center"/>
          </w:tcPr>
          <w:p w14:paraId="671323E2">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漂浮导管</w:t>
            </w:r>
          </w:p>
        </w:tc>
        <w:tc>
          <w:tcPr>
            <w:tcW w:w="1485" w:type="dxa"/>
            <w:shd w:val="clear" w:color="auto" w:fill="auto"/>
            <w:noWrap w:val="0"/>
            <w:vAlign w:val="center"/>
          </w:tcPr>
          <w:p w14:paraId="543F975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5FBFF97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533E208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5496"/>
      <w:bookmarkStart w:id="20" w:name="_Toc10137"/>
      <w:bookmarkStart w:id="21" w:name="_Toc76373866"/>
      <w:bookmarkStart w:id="22" w:name="_Toc26504"/>
      <w:bookmarkStart w:id="23" w:name="_Toc3434"/>
      <w:bookmarkStart w:id="24" w:name="_Toc30358"/>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654"/>
      <w:bookmarkStart w:id="31" w:name="_Toc18799"/>
      <w:bookmarkStart w:id="32" w:name="_Toc7527"/>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心内科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心内科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心内科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心内科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14224"/>
      <w:bookmarkStart w:id="44" w:name="_Toc25272"/>
      <w:bookmarkStart w:id="45" w:name="_Toc4033"/>
      <w:bookmarkStart w:id="46" w:name="_Toc76373872"/>
      <w:bookmarkStart w:id="47" w:name="_Toc9714"/>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1DB22234">
      <w:pPr>
        <w:widowControl/>
        <w:spacing w:before="120" w:beforeLines="50" w:line="360" w:lineRule="exact"/>
        <w:outlineLvl w:val="1"/>
        <w:rPr>
          <w:rFonts w:hint="eastAsia" w:ascii="宋体" w:hAnsi="宋体" w:eastAsia="宋体" w:cs="宋体"/>
          <w:b/>
          <w:bCs/>
          <w:color w:val="auto"/>
          <w:sz w:val="24"/>
          <w:szCs w:val="24"/>
          <w:lang w:val="en-US" w:eastAsia="zh-CN"/>
        </w:rPr>
      </w:pPr>
      <w:bookmarkStart w:id="50" w:name="_Toc32286"/>
      <w:r>
        <w:rPr>
          <w:rFonts w:hint="eastAsia" w:cs="宋体"/>
          <w:b/>
          <w:color w:val="auto"/>
          <w:sz w:val="24"/>
        </w:rPr>
        <w:t>一、</w:t>
      </w:r>
      <w:bookmarkStart w:id="51" w:name="_Toc2599"/>
      <w:bookmarkStart w:id="52" w:name="_Toc13391"/>
      <w:bookmarkStart w:id="53" w:name="_Toc3153"/>
      <w:bookmarkStart w:id="54" w:name="_Toc11474"/>
      <w:bookmarkStart w:id="55" w:name="_Toc76373874"/>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620"/>
      <w:bookmarkStart w:id="59" w:name="_Toc6355"/>
      <w:bookmarkStart w:id="60" w:name="_Toc29225"/>
      <w:bookmarkStart w:id="61" w:name="_Toc76373876"/>
      <w:bookmarkStart w:id="62" w:name="_Toc30465"/>
      <w:bookmarkStart w:id="63" w:name="_Toc1955"/>
      <w:bookmarkStart w:id="64" w:name="_Toc13107"/>
    </w:p>
    <w:p w14:paraId="1888786F">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7</w:t>
      </w:r>
    </w:p>
    <w:p w14:paraId="06DD342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1、用途：测定冠状动脉血流储备分数。</w:t>
      </w:r>
    </w:p>
    <w:p w14:paraId="05DFF4B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2、固态传感器，集成于导管远端，读数稳定准确、极细管身、快速交换设计（兼容任意0.014”导丝）、漂移率低、柔顺性和推送性优。导管工作长度：≥145 cm，头端外径≤1.9 Fr 数值越小越好。</w:t>
      </w:r>
    </w:p>
    <w:p w14:paraId="307B1D9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3、头端柔软，具有可塑形性。接口兼容性，导管亲水涂层设计。</w:t>
      </w:r>
    </w:p>
    <w:p w14:paraId="5739AFD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4、由内腔管体和传感器组成。</w:t>
      </w:r>
    </w:p>
    <w:p w14:paraId="0F022C52">
      <w:pPr>
        <w:spacing w:line="320" w:lineRule="exact"/>
        <w:ind w:left="478" w:leftChars="85" w:hanging="240" w:hangingChars="100"/>
        <w:jc w:val="left"/>
        <w:rPr>
          <w:rFonts w:hint="default" w:ascii="宋体" w:hAnsi="宋体" w:eastAsia="宋体" w:cs="宋体"/>
          <w:color w:val="auto"/>
          <w:sz w:val="24"/>
          <w:szCs w:val="24"/>
          <w:lang w:val="en-US" w:eastAsia="zh-CN"/>
        </w:rPr>
      </w:pPr>
    </w:p>
    <w:p w14:paraId="50309F60">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包1</w:t>
      </w:r>
      <w:r>
        <w:rPr>
          <w:rFonts w:hint="eastAsia" w:ascii="宋体" w:hAnsi="宋体" w:cs="宋体"/>
          <w:b/>
          <w:bCs/>
          <w:color w:val="auto"/>
          <w:sz w:val="24"/>
          <w:szCs w:val="24"/>
          <w:lang w:val="en-US" w:eastAsia="zh-CN"/>
        </w:rPr>
        <w:t>4</w:t>
      </w:r>
    </w:p>
    <w:p w14:paraId="5CD0E00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1、用途：用于冠状动脉、外周血管及心腔内介入手术中异物（如断裂导丝、导管碎片、脱落支架等）的捕获和取出，也可在CTO逆行介入中捕获导丝，实现导丝外引；适用于结构性心脏介入操作的辅助定位。</w:t>
      </w:r>
    </w:p>
    <w:p w14:paraId="322BBF6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2、单环或双环；兼容4-8F导管；圈径范围2-30mm。长度120-175cm</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圈套环应由镍钛合金 丝制成，具有良好的超弹性、形状记忆性和抗折性。圈套结构应为菱形或椭圆形设计，确保抓捕稳定，有不透X射线标记点，配单手操作的操控手柄。推送杆应有良好的推送性、扭控力和跟踪性。</w:t>
      </w:r>
    </w:p>
    <w:p w14:paraId="59EA501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3、耗材组成：圈套导管、推送管、操作手柄。</w:t>
      </w:r>
    </w:p>
    <w:p w14:paraId="7D4777C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4、无菌，一次性使用。</w:t>
      </w:r>
    </w:p>
    <w:p w14:paraId="24E9640E">
      <w:pPr>
        <w:spacing w:line="320" w:lineRule="exact"/>
        <w:ind w:left="478" w:leftChars="85" w:hanging="240" w:hangingChars="100"/>
        <w:jc w:val="left"/>
        <w:rPr>
          <w:rFonts w:hint="default" w:ascii="宋体" w:hAnsi="宋体" w:eastAsia="宋体" w:cs="宋体"/>
          <w:color w:val="auto"/>
          <w:sz w:val="24"/>
          <w:szCs w:val="24"/>
          <w:lang w:val="en-US" w:eastAsia="zh-CN"/>
        </w:rPr>
      </w:pPr>
    </w:p>
    <w:p w14:paraId="11255DE4">
      <w:pPr>
        <w:spacing w:line="320" w:lineRule="exact"/>
        <w:jc w:val="left"/>
        <w:rPr>
          <w:rFonts w:hint="eastAsia" w:ascii="宋体" w:hAnsi="宋体" w:eastAsia="宋体" w:cs="宋体"/>
          <w:b/>
          <w:bCs/>
          <w:color w:val="auto"/>
          <w:sz w:val="24"/>
          <w:szCs w:val="24"/>
          <w:lang w:val="en-US" w:eastAsia="zh-CN"/>
        </w:rPr>
      </w:pPr>
    </w:p>
    <w:p w14:paraId="4C1E1DD1">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15</w:t>
      </w:r>
    </w:p>
    <w:p w14:paraId="13CAC7E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1、用途：用于患有冠状血管疾病、可接受冠状动脉分流移植物（CABG）手术而且需手术治疗的患者。</w:t>
      </w:r>
    </w:p>
    <w:p w14:paraId="2409EF1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2、产品应有足够小的通过外径，以保证足够良好的通过性。显影标记。球囊直径2.0-4.0mm，长度5-15mm。球囊表面应集成3-4枚显微外科级不锈钢刀片，在未扩张时紧密贴合于球囊褶皱中。导管工作长度：≥ 135 cm</w:t>
      </w:r>
    </w:p>
    <w:p w14:paraId="3DC6268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3、耗材组成或成分：球囊、刀片、外管、内管、管座。</w:t>
      </w:r>
    </w:p>
    <w:p w14:paraId="18AFEBB3">
      <w:pPr>
        <w:spacing w:line="320" w:lineRule="exact"/>
        <w:ind w:left="478" w:leftChars="85" w:hanging="240" w:hangingChars="100"/>
        <w:jc w:val="left"/>
        <w:rPr>
          <w:rFonts w:hint="default" w:ascii="宋体" w:hAnsi="宋体" w:eastAsia="宋体" w:cs="宋体"/>
          <w:color w:val="auto"/>
          <w:sz w:val="24"/>
          <w:szCs w:val="24"/>
          <w:lang w:val="en-US" w:eastAsia="zh-CN"/>
        </w:rPr>
      </w:pPr>
    </w:p>
    <w:p w14:paraId="63FD240D">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17</w:t>
      </w:r>
    </w:p>
    <w:p w14:paraId="0AB8F53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1、用途：该支架系统在冠状动脉粥样硬化患者的血管内狭窄病变内完成支撑和抗再狭窄作用后，逐渐降解吸收，血管恢复原始生理功能</w:t>
      </w:r>
    </w:p>
    <w:p w14:paraId="78D6D84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支架材料可降解，具有显影标记，有足够的急性径向支撑力，有良好的柔顺性。支架和输送系统，支架为可降解材料。涂层药物须为雷帕霉素，提供药物释放周期数据提供多种直径和长度选择，以适应不同病变需求。直径2.5-4.0mm，长度12-28mm。支架平台越薄越好。</w:t>
      </w:r>
    </w:p>
    <w:p w14:paraId="349F80D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3、耗材组成或成分：支架和输送系统，支架为可降解材料。</w:t>
      </w:r>
    </w:p>
    <w:p w14:paraId="7E1742B8">
      <w:pPr>
        <w:pStyle w:val="2"/>
        <w:rPr>
          <w:rFonts w:hint="default"/>
          <w:lang w:val="en-US" w:eastAsia="zh-CN"/>
        </w:rPr>
      </w:pPr>
    </w:p>
    <w:p w14:paraId="1EBC6B7F">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20</w:t>
      </w:r>
    </w:p>
    <w:p w14:paraId="1E02362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血栓抽吸导管套件</w:t>
      </w:r>
      <w:r>
        <w:rPr>
          <w:rFonts w:hint="eastAsia" w:ascii="宋体" w:hAnsi="宋体" w:cs="宋体"/>
          <w:color w:val="auto"/>
          <w:sz w:val="24"/>
          <w:szCs w:val="24"/>
          <w:lang w:val="en-US" w:eastAsia="zh-CN"/>
        </w:rPr>
        <w:t>1:</w:t>
      </w:r>
    </w:p>
    <w:p w14:paraId="605E393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用途：用于去除动脉系统血管的新鲜、柔软栓子和血栓块</w:t>
      </w:r>
      <w:r>
        <w:rPr>
          <w:rFonts w:hint="eastAsia" w:ascii="宋体" w:hAnsi="宋体" w:cs="宋体"/>
          <w:color w:val="auto"/>
          <w:sz w:val="24"/>
          <w:szCs w:val="24"/>
          <w:lang w:val="en-US" w:eastAsia="zh-CN"/>
        </w:rPr>
        <w:t>；</w:t>
      </w:r>
    </w:p>
    <w:p w14:paraId="4977798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技术参数：0.81mm²抽吸腔，0.055"外径30cm亲水涂层段，20cm快速交换段；145cm管身100%覆盖钢丝编织；配备专门用于清洗抽吸头端的冲洗注射器</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同时配备一根加硬导丝</w:t>
      </w:r>
      <w:r>
        <w:rPr>
          <w:rFonts w:hint="eastAsia" w:ascii="宋体" w:hAnsi="宋体" w:cs="宋体"/>
          <w:color w:val="auto"/>
          <w:sz w:val="24"/>
          <w:szCs w:val="24"/>
          <w:lang w:val="en-US" w:eastAsia="zh-CN"/>
        </w:rPr>
        <w:t>；</w:t>
      </w:r>
    </w:p>
    <w:p w14:paraId="1D5FEDC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包括一根血栓抽吸导管，一个延长管套件，两个30ML注射器，一个注射器，一个废液盆及两个70um细胞筛网，血栓抽吸导管由聚碳酸酯，聚醚嵌段聚酰胺，聚四氟乙烯，尼龙12、304不锈钢，聚酰亚胺，铂铱合金等材料组成，远端涂有亲水性涂层，一次性使用。</w:t>
      </w:r>
    </w:p>
    <w:p w14:paraId="2D4CB9EA">
      <w:pPr>
        <w:pStyle w:val="2"/>
        <w:rPr>
          <w:rFonts w:hint="default"/>
          <w:lang w:val="en-US" w:eastAsia="zh-CN"/>
        </w:rPr>
      </w:pPr>
    </w:p>
    <w:p w14:paraId="6B53E08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血栓抽吸导管套件</w:t>
      </w:r>
      <w:r>
        <w:rPr>
          <w:rFonts w:hint="eastAsia" w:ascii="宋体" w:hAnsi="宋体" w:cs="宋体"/>
          <w:color w:val="auto"/>
          <w:sz w:val="24"/>
          <w:szCs w:val="24"/>
          <w:lang w:val="en-US" w:eastAsia="zh-CN"/>
        </w:rPr>
        <w:t>2:</w:t>
      </w:r>
    </w:p>
    <w:p w14:paraId="1A1E28B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用于移除动脉系统血管内新生成的柔软栓子和血栓</w:t>
      </w:r>
      <w:r>
        <w:rPr>
          <w:rFonts w:hint="eastAsia" w:ascii="宋体" w:hAnsi="宋体" w:cs="宋体"/>
          <w:color w:val="auto"/>
          <w:sz w:val="24"/>
          <w:szCs w:val="24"/>
          <w:lang w:val="en-US" w:eastAsia="zh-CN"/>
        </w:rPr>
        <w:t>；</w:t>
      </w:r>
    </w:p>
    <w:p w14:paraId="1C0C45B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0.068"外径</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20cm亲水涂层段12cm快速交换段；140cm长度99%钢丝编织覆盖；1.01mm²超大豌豆型抽吸；配备用于清洗抽吸头端的冲洗注射器；包括抽吸导管，负压注射器，冲洗器，滤网，废液收集盒以及压力延长管</w:t>
      </w:r>
      <w:r>
        <w:rPr>
          <w:rFonts w:hint="eastAsia" w:ascii="宋体" w:hAnsi="宋体" w:cs="宋体"/>
          <w:color w:val="auto"/>
          <w:sz w:val="24"/>
          <w:szCs w:val="24"/>
          <w:lang w:val="en-US" w:eastAsia="zh-CN"/>
        </w:rPr>
        <w:t>；</w:t>
      </w:r>
    </w:p>
    <w:p w14:paraId="6461ACC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该产品由血栓抽吸导管，加硬导丝，带旋塞阀的延长管，70微米微孔滤网，注射器，冲洗注射器，废液收集盒组成。</w:t>
      </w:r>
    </w:p>
    <w:p w14:paraId="6CC3B5D8">
      <w:pPr>
        <w:pStyle w:val="2"/>
        <w:rPr>
          <w:rFonts w:hint="default"/>
          <w:lang w:val="en-US" w:eastAsia="zh-CN"/>
        </w:rPr>
      </w:pPr>
    </w:p>
    <w:p w14:paraId="5AA8FD55">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21</w:t>
      </w:r>
    </w:p>
    <w:p w14:paraId="1C908BD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用途：可用于在有或没有X光透视引导放置下，建立临时右室起搏；适用范围：用于心内起搏和（或）心电图记录</w:t>
      </w:r>
      <w:r>
        <w:rPr>
          <w:rFonts w:hint="eastAsia" w:ascii="宋体" w:hAnsi="宋体" w:cs="宋体"/>
          <w:color w:val="auto"/>
          <w:sz w:val="24"/>
          <w:szCs w:val="24"/>
          <w:lang w:val="en-US" w:eastAsia="zh-CN"/>
        </w:rPr>
        <w:t>；</w:t>
      </w:r>
    </w:p>
    <w:p w14:paraId="52B64AE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技术参数：位于两个电极之间的膨胀球囊，使得能够进行血流导向放置；非实心导线；导线每隔10cm有深度标记</w:t>
      </w:r>
      <w:r>
        <w:rPr>
          <w:rFonts w:hint="eastAsia" w:ascii="宋体" w:hAnsi="宋体" w:cs="宋体"/>
          <w:color w:val="auto"/>
          <w:sz w:val="24"/>
          <w:szCs w:val="24"/>
          <w:lang w:val="en-US" w:eastAsia="zh-CN"/>
        </w:rPr>
        <w:t>；</w:t>
      </w:r>
    </w:p>
    <w:p w14:paraId="200467F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耗材组成或部分</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部件1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头电极和环电极，材料</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不锈钢或其他可传导电刺激金属。部件2:聚亚氨酯填充层和聚亚氨酯外层，材料</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聚亚氨酯。部件3：不锈钢编制电线，材料:聚合物绝缘层。</w:t>
      </w:r>
    </w:p>
    <w:p w14:paraId="7D931569">
      <w:pPr>
        <w:pStyle w:val="2"/>
        <w:rPr>
          <w:rFonts w:hint="default"/>
          <w:lang w:val="en-US" w:eastAsia="zh-CN"/>
        </w:rPr>
      </w:pPr>
    </w:p>
    <w:p w14:paraId="2806C33E">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22</w:t>
      </w:r>
    </w:p>
    <w:p w14:paraId="0E650F7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用途：可用于在有或没有X光透视引导放置下，建立临时右室起搏；适用范围</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用于心内起搏和（或）心电图记录。临床持续使用时间为大于24小时小于30天</w:t>
      </w:r>
      <w:r>
        <w:rPr>
          <w:rFonts w:hint="eastAsia" w:ascii="宋体" w:hAnsi="宋体" w:cs="宋体"/>
          <w:color w:val="auto"/>
          <w:sz w:val="24"/>
          <w:szCs w:val="24"/>
          <w:lang w:val="en-US" w:eastAsia="zh-CN"/>
        </w:rPr>
        <w:t>；</w:t>
      </w:r>
    </w:p>
    <w:p w14:paraId="167F017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技术参数：导管远端开始每隔10cm有深度标记marker，实心设计</w:t>
      </w:r>
      <w:r>
        <w:rPr>
          <w:rFonts w:hint="eastAsia" w:ascii="宋体" w:hAnsi="宋体" w:cs="宋体"/>
          <w:color w:val="auto"/>
          <w:sz w:val="24"/>
          <w:szCs w:val="24"/>
          <w:lang w:val="en-US" w:eastAsia="zh-CN"/>
        </w:rPr>
        <w:t>；</w:t>
      </w:r>
    </w:p>
    <w:p w14:paraId="65E2ABF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耗材组成或部分</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部件</w:t>
      </w: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头电极和环电极，材料</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不锈钢或其他可传导电刺激金属。部件</w:t>
      </w:r>
      <w:r>
        <w:rPr>
          <w:rFonts w:hint="eastAsia" w:ascii="宋体" w:hAnsi="宋体" w:cs="宋体"/>
          <w:color w:val="auto"/>
          <w:sz w:val="24"/>
          <w:szCs w:val="24"/>
          <w:lang w:val="en-US" w:eastAsia="zh-CN"/>
        </w:rPr>
        <w:t>2：</w:t>
      </w:r>
      <w:r>
        <w:rPr>
          <w:rFonts w:hint="default" w:ascii="宋体" w:hAnsi="宋体" w:eastAsia="宋体" w:cs="宋体"/>
          <w:color w:val="auto"/>
          <w:sz w:val="24"/>
          <w:szCs w:val="24"/>
          <w:lang w:val="en-US" w:eastAsia="zh-CN"/>
        </w:rPr>
        <w:t>导管身有聚合物绝缘层。部件</w:t>
      </w: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不锈钢编制电线。</w:t>
      </w:r>
    </w:p>
    <w:p w14:paraId="4E3D4A96">
      <w:pPr>
        <w:spacing w:line="320" w:lineRule="exact"/>
        <w:ind w:left="478" w:leftChars="85" w:hanging="240" w:hangingChars="100"/>
        <w:jc w:val="left"/>
        <w:rPr>
          <w:rFonts w:hint="default" w:ascii="宋体" w:hAnsi="宋体" w:eastAsia="宋体" w:cs="宋体"/>
          <w:color w:val="auto"/>
          <w:sz w:val="24"/>
          <w:szCs w:val="24"/>
          <w:lang w:val="en-US" w:eastAsia="zh-CN"/>
        </w:rPr>
      </w:pPr>
    </w:p>
    <w:p w14:paraId="24050949">
      <w:pPr>
        <w:spacing w:line="320" w:lineRule="exact"/>
        <w:ind w:left="479" w:leftChars="85" w:hanging="241" w:hangingChars="100"/>
        <w:jc w:val="left"/>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23</w:t>
      </w:r>
    </w:p>
    <w:p w14:paraId="2DC16F0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用途：模块化连续血流动力学病人监护仪使用，监测右心房压力（RAP）、肺动脉压力（PAP）、肺动脉嵌顿压（PAOP）、心输出量CO、 连续心排量(CCO)、连续的右心室舒张末期容积（RVEDV）、连续的右心射血分数（RVEF），可连续监测氧代谢平衡参数：连续混合静脉氧饱和度（SvO2），可监测其他衍生参数，肺循环阻力（PVR)</w:t>
      </w:r>
      <w:r>
        <w:rPr>
          <w:rFonts w:hint="eastAsia" w:ascii="宋体" w:hAnsi="宋体" w:cs="宋体"/>
          <w:color w:val="auto"/>
          <w:sz w:val="24"/>
          <w:szCs w:val="24"/>
          <w:lang w:val="en-US" w:eastAsia="zh-CN"/>
        </w:rPr>
        <w:t>。</w:t>
      </w:r>
    </w:p>
    <w:p w14:paraId="2361039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技术参数：</w:t>
      </w:r>
    </w:p>
    <w:p w14:paraId="545E075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导管体尺寸7F~8F</w:t>
      </w:r>
      <w:r>
        <w:rPr>
          <w:rFonts w:hint="eastAsia" w:ascii="宋体" w:hAnsi="宋体" w:cs="宋体"/>
          <w:color w:val="auto"/>
          <w:sz w:val="24"/>
          <w:szCs w:val="24"/>
          <w:lang w:val="en-US" w:eastAsia="zh-CN"/>
        </w:rPr>
        <w:t>；</w:t>
      </w:r>
    </w:p>
    <w:p w14:paraId="2CF715A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default" w:ascii="宋体" w:hAnsi="宋体" w:eastAsia="宋体" w:cs="宋体"/>
          <w:color w:val="auto"/>
          <w:sz w:val="24"/>
          <w:szCs w:val="24"/>
          <w:lang w:val="en-US" w:eastAsia="zh-CN"/>
        </w:rPr>
        <w:t>长度110cm</w:t>
      </w:r>
      <w:r>
        <w:rPr>
          <w:rFonts w:hint="eastAsia" w:ascii="宋体" w:hAnsi="宋体" w:cs="宋体"/>
          <w:color w:val="auto"/>
          <w:sz w:val="24"/>
          <w:szCs w:val="24"/>
          <w:lang w:val="en-US" w:eastAsia="zh-CN"/>
        </w:rPr>
        <w:t>；</w:t>
      </w:r>
    </w:p>
    <w:p w14:paraId="1DEE167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释放充气后球囊直径2.3~2.7mm</w:t>
      </w:r>
      <w:r>
        <w:rPr>
          <w:rFonts w:hint="eastAsia" w:ascii="宋体" w:hAnsi="宋体" w:cs="宋体"/>
          <w:color w:val="auto"/>
          <w:sz w:val="24"/>
          <w:szCs w:val="24"/>
          <w:lang w:val="en-US" w:eastAsia="zh-CN"/>
        </w:rPr>
        <w:t>；</w:t>
      </w:r>
    </w:p>
    <w:p w14:paraId="7CED2B9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注射端口26~30cm</w:t>
      </w:r>
      <w:r>
        <w:rPr>
          <w:rFonts w:hint="eastAsia" w:ascii="宋体" w:hAnsi="宋体" w:cs="宋体"/>
          <w:color w:val="auto"/>
          <w:sz w:val="24"/>
          <w:szCs w:val="24"/>
          <w:lang w:val="en-US" w:eastAsia="zh-CN"/>
        </w:rPr>
        <w:t>；</w:t>
      </w:r>
    </w:p>
    <w:p w14:paraId="29B346A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default" w:ascii="宋体" w:hAnsi="宋体" w:eastAsia="宋体" w:cs="宋体"/>
          <w:color w:val="auto"/>
          <w:sz w:val="24"/>
          <w:szCs w:val="24"/>
          <w:lang w:val="en-US" w:eastAsia="zh-CN"/>
        </w:rPr>
        <w:t>热敏电阻4cm</w:t>
      </w:r>
      <w:r>
        <w:rPr>
          <w:rFonts w:hint="eastAsia" w:ascii="宋体" w:hAnsi="宋体" w:cs="宋体"/>
          <w:color w:val="auto"/>
          <w:sz w:val="24"/>
          <w:szCs w:val="24"/>
          <w:lang w:val="en-US" w:eastAsia="zh-CN"/>
        </w:rPr>
        <w:t>；</w:t>
      </w:r>
    </w:p>
    <w:p w14:paraId="0CD4C34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default" w:ascii="宋体" w:hAnsi="宋体" w:eastAsia="宋体" w:cs="宋体"/>
          <w:color w:val="auto"/>
          <w:sz w:val="24"/>
          <w:szCs w:val="24"/>
          <w:lang w:val="en-US" w:eastAsia="zh-CN"/>
        </w:rPr>
        <w:t>VIP端口30cm</w:t>
      </w:r>
      <w:r>
        <w:rPr>
          <w:rFonts w:hint="eastAsia" w:ascii="宋体" w:hAnsi="宋体" w:cs="宋体"/>
          <w:color w:val="auto"/>
          <w:sz w:val="24"/>
          <w:szCs w:val="24"/>
          <w:lang w:val="en-US" w:eastAsia="zh-CN"/>
        </w:rPr>
        <w:t>；</w:t>
      </w:r>
    </w:p>
    <w:p w14:paraId="49671F1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default" w:ascii="宋体" w:hAnsi="宋体" w:eastAsia="宋体" w:cs="宋体"/>
          <w:color w:val="auto"/>
          <w:sz w:val="24"/>
          <w:szCs w:val="24"/>
          <w:lang w:val="en-US" w:eastAsia="zh-CN"/>
        </w:rPr>
        <w:t>热导丝14-25cm</w:t>
      </w:r>
    </w:p>
    <w:p w14:paraId="25FCD0A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default" w:ascii="宋体" w:hAnsi="宋体" w:eastAsia="宋体" w:cs="宋体"/>
          <w:color w:val="auto"/>
          <w:sz w:val="24"/>
          <w:szCs w:val="24"/>
          <w:lang w:val="en-US" w:eastAsia="zh-CN"/>
        </w:rPr>
        <w:t>囊注射器(3ml，体积限位1.5ml)</w:t>
      </w:r>
      <w:r>
        <w:rPr>
          <w:rFonts w:hint="eastAsia" w:ascii="宋体" w:hAnsi="宋体" w:cs="宋体"/>
          <w:color w:val="auto"/>
          <w:sz w:val="24"/>
          <w:szCs w:val="24"/>
          <w:lang w:val="en-US" w:eastAsia="zh-CN"/>
        </w:rPr>
        <w:t>。</w:t>
      </w:r>
    </w:p>
    <w:p w14:paraId="6D15284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耗材组成或成分：球囊、远端腔、注射腔、热敏电阻，热敏导丝、注射VIP端口等组成</w:t>
      </w:r>
      <w:r>
        <w:rPr>
          <w:rFonts w:hint="eastAsia" w:ascii="宋体" w:hAnsi="宋体" w:cs="宋体"/>
          <w:color w:val="auto"/>
          <w:sz w:val="24"/>
          <w:szCs w:val="24"/>
          <w:lang w:val="en-US" w:eastAsia="zh-CN"/>
        </w:rPr>
        <w:t>。</w:t>
      </w:r>
    </w:p>
    <w:p w14:paraId="690034C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匹配我院现有产品（爱德华模块化连续血流动力学病人监护仪）</w:t>
      </w:r>
      <w:r>
        <w:rPr>
          <w:rFonts w:hint="eastAsia" w:ascii="宋体" w:hAnsi="宋体" w:cs="宋体"/>
          <w:color w:val="auto"/>
          <w:sz w:val="24"/>
          <w:szCs w:val="24"/>
          <w:lang w:val="en-US" w:eastAsia="zh-CN"/>
        </w:rPr>
        <w:t>。</w:t>
      </w:r>
    </w:p>
    <w:p w14:paraId="1E10B9CF">
      <w:pPr>
        <w:spacing w:line="320" w:lineRule="exact"/>
        <w:jc w:val="left"/>
        <w:rPr>
          <w:rFonts w:hint="default" w:ascii="宋体" w:hAnsi="宋体" w:eastAsia="宋体" w:cs="宋体"/>
          <w:color w:val="auto"/>
          <w:sz w:val="24"/>
          <w:szCs w:val="24"/>
          <w:lang w:val="en-US" w:eastAsia="zh-CN"/>
        </w:rPr>
      </w:pPr>
    </w:p>
    <w:p w14:paraId="54D79A1F">
      <w:pPr>
        <w:spacing w:line="320" w:lineRule="exact"/>
        <w:ind w:left="478" w:leftChars="85" w:hanging="240" w:hangingChars="100"/>
        <w:jc w:val="left"/>
        <w:rPr>
          <w:rFonts w:hint="default" w:ascii="宋体" w:hAnsi="宋体" w:eastAsia="宋体" w:cs="宋体"/>
          <w:color w:val="auto"/>
          <w:sz w:val="24"/>
          <w:szCs w:val="24"/>
          <w:lang w:val="en-US" w:eastAsia="zh-CN"/>
        </w:rPr>
      </w:pPr>
    </w:p>
    <w:p w14:paraId="72748E6F">
      <w:pPr>
        <w:spacing w:line="320" w:lineRule="exact"/>
        <w:ind w:left="478" w:leftChars="85" w:hanging="240" w:hangingChars="100"/>
        <w:jc w:val="left"/>
        <w:rPr>
          <w:rFonts w:hint="default" w:ascii="宋体" w:hAnsi="宋体" w:eastAsia="宋体" w:cs="宋体"/>
          <w:color w:val="auto"/>
          <w:sz w:val="24"/>
          <w:szCs w:val="24"/>
          <w:lang w:val="en-US" w:eastAsia="zh-CN"/>
        </w:rPr>
      </w:pPr>
    </w:p>
    <w:p w14:paraId="6092A9F8">
      <w:pPr>
        <w:pStyle w:val="2"/>
        <w:rPr>
          <w:rFonts w:hint="default" w:ascii="宋体" w:hAnsi="宋体" w:eastAsia="宋体" w:cs="宋体"/>
          <w:color w:val="auto"/>
          <w:sz w:val="24"/>
          <w:szCs w:val="24"/>
          <w:lang w:val="en-US" w:eastAsia="zh-CN"/>
        </w:rPr>
      </w:pPr>
    </w:p>
    <w:p w14:paraId="6BD57247">
      <w:pPr>
        <w:pStyle w:val="3"/>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2072"/>
      <w:bookmarkStart w:id="68" w:name="_Toc1768"/>
      <w:bookmarkStart w:id="69" w:name="_Toc7794"/>
      <w:bookmarkStart w:id="70" w:name="_Toc24122"/>
      <w:bookmarkStart w:id="71" w:name="_Toc4791"/>
      <w:bookmarkStart w:id="72" w:name="_Toc15650"/>
      <w:bookmarkStart w:id="73" w:name="_Toc17524"/>
      <w:bookmarkStart w:id="74" w:name="_Toc31843"/>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5959"/>
      <w:bookmarkStart w:id="79" w:name="_Toc76373879"/>
      <w:bookmarkStart w:id="80" w:name="_Toc9339"/>
      <w:bookmarkStart w:id="81" w:name="_Toc22561"/>
      <w:bookmarkStart w:id="82" w:name="_Toc29836"/>
      <w:bookmarkStart w:id="83" w:name="_Toc3055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7737"/>
      <w:bookmarkStart w:id="88" w:name="_Toc20263"/>
      <w:bookmarkStart w:id="89" w:name="_Toc20772"/>
      <w:bookmarkStart w:id="90" w:name="_Toc76373885"/>
      <w:bookmarkStart w:id="91" w:name="_Toc27893"/>
      <w:bookmarkStart w:id="92" w:name="_Toc2258"/>
      <w:bookmarkStart w:id="93" w:name="_Toc12384"/>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8189"/>
      <w:bookmarkStart w:id="95" w:name="_Toc11052"/>
      <w:bookmarkStart w:id="96" w:name="_Toc7115"/>
      <w:bookmarkStart w:id="97" w:name="_Toc23699"/>
      <w:bookmarkStart w:id="98" w:name="_Toc76373886"/>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9147"/>
      <w:bookmarkStart w:id="102" w:name="_Toc31293"/>
      <w:bookmarkStart w:id="103" w:name="_Toc76373887"/>
      <w:bookmarkStart w:id="104" w:name="_Toc19809"/>
      <w:bookmarkStart w:id="105" w:name="_Toc13585"/>
      <w:bookmarkStart w:id="106" w:name="_Toc5535"/>
      <w:bookmarkStart w:id="107" w:name="_Toc26754"/>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8546"/>
      <w:bookmarkStart w:id="109" w:name="_Toc16925"/>
      <w:bookmarkStart w:id="110" w:name="_Toc5251"/>
      <w:bookmarkStart w:id="111" w:name="_Toc2900"/>
      <w:bookmarkStart w:id="112" w:name="_Toc30068"/>
      <w:bookmarkStart w:id="113" w:name="_Toc76373889"/>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0034"/>
      <w:bookmarkStart w:id="117" w:name="_Toc11342"/>
      <w:bookmarkStart w:id="118" w:name="_Toc11654"/>
      <w:bookmarkStart w:id="119" w:name="_Toc76373890"/>
      <w:bookmarkStart w:id="120" w:name="_Toc26071"/>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5199"/>
      <w:bookmarkStart w:id="124" w:name="_Toc10864"/>
      <w:bookmarkStart w:id="125" w:name="_Toc27646"/>
      <w:bookmarkStart w:id="126" w:name="_Toc20391"/>
      <w:bookmarkStart w:id="127" w:name="_Toc76373891"/>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0762"/>
      <w:bookmarkStart w:id="136" w:name="_Toc19409"/>
      <w:bookmarkStart w:id="137" w:name="_Toc10152"/>
      <w:bookmarkStart w:id="138" w:name="_Toc2975"/>
      <w:bookmarkStart w:id="139" w:name="_Toc24088"/>
      <w:bookmarkStart w:id="140" w:name="_Toc76373904"/>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6112"/>
      <w:bookmarkStart w:id="142" w:name="_Toc7750"/>
      <w:bookmarkStart w:id="143" w:name="_Toc12863"/>
      <w:bookmarkStart w:id="144" w:name="_Toc11892"/>
      <w:bookmarkStart w:id="145" w:name="_Toc25920"/>
      <w:bookmarkStart w:id="146" w:name="_Toc11763"/>
      <w:bookmarkStart w:id="147" w:name="_Toc76373907"/>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22827"/>
      <w:bookmarkStart w:id="156" w:name="_Toc10063"/>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431"/>
      <w:bookmarkStart w:id="170" w:name="_Toc76373909"/>
      <w:bookmarkStart w:id="171" w:name="_Toc9795"/>
      <w:bookmarkStart w:id="172" w:name="_Toc21830"/>
      <w:bookmarkStart w:id="173" w:name="_Toc493178790"/>
      <w:bookmarkStart w:id="174" w:name="_Toc27306"/>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20258"/>
      <w:bookmarkStart w:id="179" w:name="_Toc411"/>
      <w:bookmarkStart w:id="180" w:name="_Toc20875"/>
      <w:bookmarkStart w:id="181" w:name="_Toc76373910"/>
      <w:bookmarkStart w:id="182" w:name="_Toc493178791"/>
      <w:bookmarkStart w:id="183" w:name="_Toc12647"/>
      <w:bookmarkStart w:id="184" w:name="_Toc492721039"/>
      <w:bookmarkStart w:id="185" w:name="_Toc16487"/>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 xml:space="preserve">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16151"/>
      <w:bookmarkStart w:id="188" w:name="_Toc20605"/>
      <w:bookmarkStart w:id="189" w:name="_Toc8925"/>
      <w:bookmarkStart w:id="190" w:name="_Toc6217"/>
      <w:bookmarkStart w:id="191" w:name="_Toc76373912"/>
      <w:bookmarkStart w:id="192" w:name="_Toc19291"/>
      <w:bookmarkStart w:id="193" w:name="_Toc4250"/>
      <w:bookmarkStart w:id="194" w:name="_Toc492721038"/>
      <w:bookmarkStart w:id="195" w:name="_Toc493178793"/>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6AA5BA-B14F-494C-8CB6-BB4558BD2F83}"/>
  </w:font>
  <w:font w:name="黑体">
    <w:panose1 w:val="02010609060101010101"/>
    <w:charset w:val="86"/>
    <w:family w:val="auto"/>
    <w:pitch w:val="default"/>
    <w:sig w:usb0="800002BF" w:usb1="38CF7CFA" w:usb2="00000016" w:usb3="00000000" w:csb0="00040001" w:csb1="00000000"/>
    <w:embedRegular r:id="rId2" w:fontKey="{A6E8C029-8CBE-4A5A-AA7E-02421EB637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EC02AA2D-E7CA-4A8E-88DA-0A7638318BC5}"/>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CC60B820-8DDE-4738-B30D-C472D16E2DC3}"/>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AC5CCA98-46D7-4BD1-BACC-EBF8009F3923}"/>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6" w:fontKey="{B03BC79C-0734-4FA9-B9DA-14CE569962F2}"/>
  </w:font>
  <w:font w:name="方正黑体_GBK">
    <w:panose1 w:val="03000509000000000000"/>
    <w:charset w:val="86"/>
    <w:family w:val="script"/>
    <w:pitch w:val="default"/>
    <w:sig w:usb0="00000001" w:usb1="080E0000" w:usb2="00000000" w:usb3="00000000" w:csb0="00040000" w:csb1="00000000"/>
    <w:embedRegular r:id="rId7" w:fontKey="{B830A8CE-896E-49E1-8C1F-8FF09D16CD39}"/>
  </w:font>
  <w:font w:name="方正小标宋_GBK">
    <w:panose1 w:val="03000509000000000000"/>
    <w:charset w:val="86"/>
    <w:family w:val="script"/>
    <w:pitch w:val="default"/>
    <w:sig w:usb0="00000001" w:usb1="080E0000" w:usb2="00000000" w:usb3="00000000" w:csb0="00040000" w:csb1="00000000"/>
    <w:embedRegular r:id="rId8" w:fontKey="{CEDBB499-C0CC-431C-B18D-3BD6F2C43B5D}"/>
  </w:font>
  <w:font w:name="微软雅黑">
    <w:panose1 w:val="020B0503020204020204"/>
    <w:charset w:val="86"/>
    <w:family w:val="swiss"/>
    <w:pitch w:val="default"/>
    <w:sig w:usb0="80000287" w:usb1="2ACF3C50" w:usb2="00000016" w:usb3="00000000" w:csb0="0004001F" w:csb1="00000000"/>
    <w:embedRegular r:id="rId9" w:fontKey="{6245A3B9-F064-435F-B467-ACA9FC3AA681}"/>
  </w:font>
  <w:font w:name="仿宋">
    <w:panose1 w:val="02010609060101010101"/>
    <w:charset w:val="86"/>
    <w:family w:val="modern"/>
    <w:pitch w:val="default"/>
    <w:sig w:usb0="800002BF" w:usb1="38CF7CFA" w:usb2="00000016" w:usb3="00000000" w:csb0="00040001" w:csb1="00000000"/>
    <w:embedRegular r:id="rId10" w:fontKey="{1F1053B8-AFA9-4707-A8A1-3E6CD9F5B808}"/>
  </w:font>
  <w:font w:name="WPSEMBED168">
    <w:panose1 w:val="03000509000000000000"/>
    <w:charset w:val="86"/>
    <w:family w:val="auto"/>
    <w:pitch w:val="default"/>
    <w:sig w:usb0="00000001" w:usb1="080E0000" w:usb2="00000000" w:usb3="00000000" w:csb0="00040000" w:csb1="00000000"/>
  </w:font>
  <w:font w:name="WPSEMBED169">
    <w:panose1 w:val="03000509000000000000"/>
    <w:charset w:val="86"/>
    <w:family w:val="auto"/>
    <w:pitch w:val="default"/>
    <w:sig w:usb0="00000001" w:usb1="080E0000" w:usb2="00000000" w:usb3="00000000" w:csb0="00040000" w:csb1="00000000"/>
  </w:font>
  <w:font w:name="WPSEMBED166">
    <w:panose1 w:val="02010609030101010101"/>
    <w:charset w:val="86"/>
    <w:family w:val="auto"/>
    <w:pitch w:val="default"/>
    <w:sig w:usb0="00000001" w:usb1="080E0000" w:usb2="00000000" w:usb3="00000000" w:csb0="00040000" w:csb1="00000000"/>
  </w:font>
  <w:font w:name="WPSEMBED170">
    <w:panose1 w:val="03000509000000000000"/>
    <w:charset w:val="86"/>
    <w:family w:val="auto"/>
    <w:pitch w:val="default"/>
    <w:sig w:usb0="00000001" w:usb1="080E0000" w:usb2="00000000" w:usb3="00000000" w:csb0="00040000" w:csb1="00000000"/>
  </w:font>
  <w:font w:name="WPSEMBED167">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E219E"/>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90998"/>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260228"/>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256546"/>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706</Words>
  <Characters>717</Characters>
  <Lines>101</Lines>
  <Paragraphs>28</Paragraphs>
  <TotalTime>0</TotalTime>
  <ScaleCrop>false</ScaleCrop>
  <LinksUpToDate>false</LinksUpToDate>
  <CharactersWithSpaces>806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2026-05-14T08:12:17Z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eyJoZGlkIjoiMzc1OGNlMDJlMzRlMzMzYmE1ZjU3MzU3ZjgyMjI5MWIiLCJ1c2VySWQiOiIxMjgyNDcwNjU2In0=</vt:lpwstr>
  </property>
</Properties>
</file>