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31066"/>
      <w:bookmarkStart w:id="1" w:name="_Toc13868"/>
      <w:bookmarkStart w:id="2" w:name="_Toc10059"/>
      <w:bookmarkStart w:id="3" w:name="_Toc1304"/>
      <w:bookmarkStart w:id="4" w:name="_Toc76373863"/>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2435"/>
      <w:bookmarkStart w:id="8" w:name="_Toc76373864"/>
      <w:bookmarkStart w:id="9" w:name="_Toc5909"/>
      <w:bookmarkStart w:id="10" w:name="_Toc28264"/>
      <w:bookmarkStart w:id="11" w:name="_Toc15376"/>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58119EF9">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val="en-US" w:eastAsia="zh-CN"/>
        </w:rPr>
        <w:t>益生菌、早产/低出生体重婴儿配方食品</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比选（需满足全部参数）</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5838"/>
            <w:bookmarkStart w:id="16" w:name="_Toc22707"/>
            <w:bookmarkStart w:id="17" w:name="_Toc22129"/>
            <w:bookmarkStart w:id="18" w:name="_Toc76373865"/>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一</w:t>
            </w:r>
          </w:p>
        </w:tc>
        <w:tc>
          <w:tcPr>
            <w:tcW w:w="2298" w:type="dxa"/>
            <w:shd w:val="clear" w:color="auto" w:fill="auto"/>
            <w:noWrap w:val="0"/>
            <w:vAlign w:val="center"/>
          </w:tcPr>
          <w:p w14:paraId="2713193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益生菌</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6E1E18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color w:val="auto"/>
                <w:sz w:val="24"/>
                <w:szCs w:val="24"/>
                <w:lang w:val="en-US" w:eastAsia="zh-CN"/>
              </w:rPr>
              <w:t>临床营养科</w:t>
            </w:r>
          </w:p>
        </w:tc>
      </w:tr>
      <w:tr w14:paraId="192C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08FA32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包二</w:t>
            </w:r>
          </w:p>
        </w:tc>
        <w:tc>
          <w:tcPr>
            <w:tcW w:w="2298" w:type="dxa"/>
            <w:shd w:val="clear" w:color="auto" w:fill="auto"/>
            <w:noWrap w:val="0"/>
            <w:vAlign w:val="center"/>
          </w:tcPr>
          <w:p w14:paraId="48C2E8F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早产/低出生体重婴儿配方食品</w:t>
            </w:r>
          </w:p>
        </w:tc>
        <w:tc>
          <w:tcPr>
            <w:tcW w:w="1485" w:type="dxa"/>
            <w:shd w:val="clear" w:color="auto" w:fill="auto"/>
            <w:noWrap w:val="0"/>
            <w:vAlign w:val="center"/>
          </w:tcPr>
          <w:p w14:paraId="0B5862B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12FE77C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1进口/1国产</w:t>
            </w:r>
          </w:p>
        </w:tc>
        <w:tc>
          <w:tcPr>
            <w:tcW w:w="1594" w:type="dxa"/>
            <w:noWrap w:val="0"/>
            <w:vAlign w:val="center"/>
          </w:tcPr>
          <w:p w14:paraId="49D9E267">
            <w:pPr>
              <w:keepNext w:val="0"/>
              <w:keepLines w:val="0"/>
              <w:widowControl/>
              <w:suppressLineNumbers w:val="0"/>
              <w:jc w:val="center"/>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临床营养科、产科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76373866"/>
      <w:bookmarkStart w:id="20" w:name="_Toc10137"/>
      <w:bookmarkStart w:id="21" w:name="_Toc3434"/>
      <w:bookmarkStart w:id="22" w:name="_Toc25496"/>
      <w:bookmarkStart w:id="23" w:name="_Toc30358"/>
      <w:bookmarkStart w:id="24" w:name="_Toc26504"/>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28099"/>
      <w:bookmarkStart w:id="31" w:name="_Toc654"/>
      <w:bookmarkStart w:id="32" w:name="_Toc7527"/>
      <w:bookmarkStart w:id="33" w:name="_Toc187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临床营养科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临床营养科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临床营养科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临床营养科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4033"/>
      <w:bookmarkStart w:id="44" w:name="_Toc25272"/>
      <w:bookmarkStart w:id="45" w:name="_Toc14224"/>
      <w:bookmarkStart w:id="46" w:name="_Toc76373872"/>
      <w:bookmarkStart w:id="47" w:name="_Toc9714"/>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26427D13">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3153"/>
      <w:bookmarkStart w:id="52" w:name="_Toc11474"/>
      <w:bookmarkStart w:id="53" w:name="_Toc13391"/>
      <w:bookmarkStart w:id="54" w:name="_Toc76373874"/>
      <w:bookmarkStart w:id="55" w:name="_Toc2599"/>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6355"/>
      <w:bookmarkStart w:id="59" w:name="_Toc29225"/>
      <w:bookmarkStart w:id="60" w:name="_Toc29620"/>
      <w:bookmarkStart w:id="61" w:name="_Toc30465"/>
      <w:bookmarkStart w:id="62" w:name="_Toc76373876"/>
      <w:bookmarkStart w:id="63" w:name="_Toc13107"/>
      <w:bookmarkStart w:id="64" w:name="_Toc1955"/>
    </w:p>
    <w:p w14:paraId="136CA2BC">
      <w:pPr>
        <w:spacing w:line="320" w:lineRule="exact"/>
        <w:ind w:left="479" w:leftChars="85" w:hanging="241" w:hangingChars="100"/>
        <w:jc w:val="left"/>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62C10686">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用于婴幼儿急性腹泻、慢性/迁延性腹泻、母乳性腹泻、肠绞痛、肠胀气、婴幼儿病毒性肠炎、乳清不耐受等，平衡肠道菌群，改善胃肠道功能。</w:t>
      </w:r>
    </w:p>
    <w:p w14:paraId="66DCA414">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参数:</w:t>
      </w:r>
    </w:p>
    <w:p w14:paraId="6A0CCE54">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1、含鼠李糖乳酪杆菌GG，罗伊氏液乳杆菌DSM12246等菌株。</w:t>
      </w:r>
    </w:p>
    <w:p w14:paraId="23B435F4">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2、新生儿可用，菌株需为中国卫生部批准的婴幼儿可食用的菌株。</w:t>
      </w:r>
    </w:p>
    <w:p w14:paraId="1BC22250">
      <w:pPr>
        <w:spacing w:line="320" w:lineRule="exact"/>
        <w:ind w:left="478" w:leftChars="85" w:hanging="240" w:hangingChars="100"/>
        <w:jc w:val="left"/>
        <w:rPr>
          <w:rFonts w:hint="eastAsia" w:ascii="宋体" w:hAnsi="宋体" w:cs="宋体"/>
          <w:b w:val="0"/>
          <w:bCs w:val="0"/>
          <w:color w:val="auto"/>
          <w:sz w:val="24"/>
          <w:szCs w:val="24"/>
          <w:lang w:val="en-US" w:eastAsia="zh-CN"/>
        </w:rPr>
      </w:pPr>
    </w:p>
    <w:p w14:paraId="5D0BC6B7">
      <w:pPr>
        <w:spacing w:line="320" w:lineRule="exact"/>
        <w:ind w:left="479" w:leftChars="85" w:hanging="241" w:hangingChars="100"/>
        <w:jc w:val="left"/>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2</w:t>
      </w:r>
    </w:p>
    <w:p w14:paraId="4B67DE81">
      <w:pPr>
        <w:spacing w:line="320" w:lineRule="exact"/>
        <w:ind w:left="478" w:leftChars="85" w:hanging="240" w:hangingChars="100"/>
        <w:jc w:val="left"/>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特殊医学用途早产/低出生体重婴儿配方食品，给予早产/低出生体重婴儿提供特殊营养需求。</w:t>
      </w:r>
    </w:p>
    <w:p w14:paraId="7EC5E5C1">
      <w:pPr>
        <w:spacing w:line="320" w:lineRule="exact"/>
        <w:ind w:left="478" w:leftChars="85" w:hanging="240" w:hangingChars="100"/>
        <w:jc w:val="left"/>
        <w:rPr>
          <w:rFonts w:hint="default" w:ascii="宋体" w:hAnsi="宋体" w:eastAsia="宋体" w:cs="宋体"/>
          <w:b w:val="0"/>
          <w:bCs w:val="0"/>
          <w:color w:val="auto"/>
          <w:sz w:val="24"/>
          <w:szCs w:val="24"/>
          <w:lang w:val="en-US" w:eastAsia="zh-CN"/>
        </w:rPr>
      </w:pPr>
    </w:p>
    <w:p w14:paraId="6BD57247">
      <w:pPr>
        <w:pStyle w:val="3"/>
        <w:ind w:left="0" w:leftChars="0" w:firstLine="0" w:firstLineChars="0"/>
        <w:jc w:val="both"/>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5650"/>
      <w:bookmarkStart w:id="67" w:name="_Toc17524"/>
      <w:bookmarkStart w:id="68" w:name="_Toc4791"/>
      <w:bookmarkStart w:id="69" w:name="_Toc24122"/>
      <w:bookmarkStart w:id="70" w:name="_Toc1768"/>
      <w:bookmarkStart w:id="71" w:name="_Toc7794"/>
      <w:bookmarkStart w:id="72" w:name="_Toc31843"/>
      <w:bookmarkStart w:id="73" w:name="_Toc76373878"/>
      <w:bookmarkStart w:id="74" w:name="_Toc17944"/>
      <w:bookmarkStart w:id="75" w:name="_Toc207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9339"/>
      <w:bookmarkStart w:id="79" w:name="_Toc30551"/>
      <w:bookmarkStart w:id="80" w:name="_Toc22561"/>
      <w:bookmarkStart w:id="81" w:name="_Toc14311"/>
      <w:bookmarkStart w:id="82" w:name="_Toc5959"/>
      <w:bookmarkStart w:id="83" w:name="_Toc76373879"/>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12384"/>
      <w:bookmarkStart w:id="88" w:name="_Toc27893"/>
      <w:bookmarkStart w:id="89" w:name="_Toc76373885"/>
      <w:bookmarkStart w:id="90" w:name="_Toc20772"/>
      <w:bookmarkStart w:id="91" w:name="_Toc27737"/>
      <w:bookmarkStart w:id="92" w:name="_Toc2258"/>
      <w:bookmarkStart w:id="93" w:name="_Toc2026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8189"/>
      <w:bookmarkStart w:id="95" w:name="_Toc11052"/>
      <w:bookmarkStart w:id="96" w:name="_Toc76373886"/>
      <w:bookmarkStart w:id="97" w:name="_Toc23699"/>
      <w:bookmarkStart w:id="98" w:name="_Toc7115"/>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76373887"/>
      <w:bookmarkStart w:id="102" w:name="_Toc31293"/>
      <w:bookmarkStart w:id="103" w:name="_Toc5535"/>
      <w:bookmarkStart w:id="104" w:name="_Toc13585"/>
      <w:bookmarkStart w:id="105" w:name="_Toc19809"/>
      <w:bookmarkStart w:id="106" w:name="_Toc26754"/>
      <w:bookmarkStart w:id="107" w:name="_Toc9147"/>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color w:val="auto"/>
          <w:sz w:val="24"/>
          <w:szCs w:val="24"/>
        </w:rPr>
        <w:t>院内采购小组及评审专家当将其作为无效竞选处理。</w:t>
      </w:r>
    </w:p>
    <w:p w14:paraId="4DDD785C">
      <w:pPr>
        <w:spacing w:line="400" w:lineRule="exact"/>
        <w:outlineLvl w:val="1"/>
        <w:rPr>
          <w:rFonts w:hint="eastAsia" w:cs="宋体"/>
          <w:b/>
          <w:color w:val="auto"/>
          <w:sz w:val="24"/>
        </w:rPr>
      </w:pPr>
      <w:bookmarkStart w:id="108" w:name="_Toc8546"/>
      <w:bookmarkStart w:id="109" w:name="_Toc16925"/>
      <w:bookmarkStart w:id="110" w:name="_Toc76373889"/>
      <w:bookmarkStart w:id="111" w:name="_Toc2900"/>
      <w:bookmarkStart w:id="112" w:name="_Toc5251"/>
      <w:bookmarkStart w:id="113" w:name="_Toc30068"/>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76373890"/>
      <w:bookmarkStart w:id="117" w:name="_Toc11342"/>
      <w:bookmarkStart w:id="118" w:name="_Toc20034"/>
      <w:bookmarkStart w:id="119" w:name="_Toc26071"/>
      <w:bookmarkStart w:id="120" w:name="_Toc11654"/>
      <w:bookmarkStart w:id="121" w:name="_Toc27443"/>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5199"/>
      <w:bookmarkStart w:id="124" w:name="_Toc20391"/>
      <w:bookmarkStart w:id="125" w:name="_Toc27646"/>
      <w:bookmarkStart w:id="126" w:name="_Toc76373891"/>
      <w:bookmarkStart w:id="127" w:name="_Toc10864"/>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975"/>
      <w:bookmarkStart w:id="136" w:name="_Toc19409"/>
      <w:bookmarkStart w:id="137" w:name="_Toc10152"/>
      <w:bookmarkStart w:id="138" w:name="_Toc76373904"/>
      <w:bookmarkStart w:id="139" w:name="_Toc24088"/>
      <w:bookmarkStart w:id="140" w:name="_Toc20762"/>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6112"/>
      <w:bookmarkStart w:id="142" w:name="_Toc76373907"/>
      <w:bookmarkStart w:id="143" w:name="_Toc7750"/>
      <w:bookmarkStart w:id="144" w:name="_Toc25920"/>
      <w:bookmarkStart w:id="145" w:name="_Toc11892"/>
      <w:bookmarkStart w:id="146" w:name="_Toc12863"/>
      <w:bookmarkStart w:id="147" w:name="_Toc11763"/>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22827"/>
      <w:bookmarkStart w:id="157"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1830"/>
      <w:bookmarkStart w:id="170" w:name="_Toc9795"/>
      <w:bookmarkStart w:id="171" w:name="_Toc27306"/>
      <w:bookmarkStart w:id="172" w:name="_Toc493178790"/>
      <w:bookmarkStart w:id="173" w:name="_Toc21431"/>
      <w:bookmarkStart w:id="174" w:name="_Toc76373909"/>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92721039"/>
      <w:bookmarkStart w:id="179" w:name="_Toc76373910"/>
      <w:bookmarkStart w:id="180" w:name="_Toc12647"/>
      <w:bookmarkStart w:id="181" w:name="_Toc20875"/>
      <w:bookmarkStart w:id="182" w:name="_Toc493178791"/>
      <w:bookmarkStart w:id="183" w:name="_Toc16487"/>
      <w:bookmarkStart w:id="184" w:name="_Toc411"/>
      <w:bookmarkStart w:id="185" w:name="_Toc20258"/>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92721038"/>
      <w:bookmarkStart w:id="188" w:name="_Toc76373912"/>
      <w:bookmarkStart w:id="189" w:name="_Toc4250"/>
      <w:bookmarkStart w:id="190" w:name="_Toc8925"/>
      <w:bookmarkStart w:id="191" w:name="_Toc19291"/>
      <w:bookmarkStart w:id="192" w:name="_Toc16151"/>
      <w:bookmarkStart w:id="193" w:name="_Toc493178793"/>
      <w:bookmarkStart w:id="194" w:name="_Toc6217"/>
      <w:bookmarkStart w:id="195" w:name="_Toc20605"/>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0FFBDF15">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8008320-AE31-4129-AFC3-1A54A0F68A5E}"/>
  </w:font>
  <w:font w:name="黑体">
    <w:panose1 w:val="02010609060101010101"/>
    <w:charset w:val="86"/>
    <w:family w:val="auto"/>
    <w:pitch w:val="default"/>
    <w:sig w:usb0="800002BF" w:usb1="38CF7CFA" w:usb2="00000016" w:usb3="00000000" w:csb0="00040001" w:csb1="00000000"/>
    <w:embedRegular r:id="rId2" w:fontKey="{EDE95844-FABA-4C81-B235-49EC3869CC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FEE3A705-453D-47A6-9ABF-674D69E521A7}"/>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31C033EE-0D9B-4933-BBA2-DB06B7930592}"/>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585EBABA-5F64-4783-A43A-A4399B734C1E}"/>
  </w:font>
  <w:font w:name="方正黑体_GBK">
    <w:panose1 w:val="03000509000000000000"/>
    <w:charset w:val="86"/>
    <w:family w:val="script"/>
    <w:pitch w:val="default"/>
    <w:sig w:usb0="00000001" w:usb1="080E0000" w:usb2="00000000" w:usb3="00000000" w:csb0="00040000" w:csb1="00000000"/>
    <w:embedRegular r:id="rId6" w:fontKey="{8DF28110-D706-435D-A624-33A231914640}"/>
  </w:font>
  <w:font w:name="方正小标宋_GBK">
    <w:panose1 w:val="03000509000000000000"/>
    <w:charset w:val="86"/>
    <w:family w:val="script"/>
    <w:pitch w:val="default"/>
    <w:sig w:usb0="00000001" w:usb1="080E0000" w:usb2="00000000" w:usb3="00000000" w:csb0="00040000" w:csb1="00000000"/>
    <w:embedRegular r:id="rId7" w:fontKey="{80C858F3-51F8-406B-B22B-2BA8DAC15B78}"/>
  </w:font>
  <w:font w:name="微软雅黑">
    <w:panose1 w:val="020B0503020204020204"/>
    <w:charset w:val="86"/>
    <w:family w:val="swiss"/>
    <w:pitch w:val="default"/>
    <w:sig w:usb0="80000287" w:usb1="2ACF3C50" w:usb2="00000016" w:usb3="00000000" w:csb0="0004001F" w:csb1="00000000"/>
    <w:embedRegular r:id="rId8" w:fontKey="{5624832F-E604-454A-8D47-6C437DF31B48}"/>
  </w:font>
  <w:font w:name="仿宋">
    <w:panose1 w:val="02010609060101010101"/>
    <w:charset w:val="86"/>
    <w:family w:val="modern"/>
    <w:pitch w:val="default"/>
    <w:sig w:usb0="800002BF" w:usb1="38CF7CFA" w:usb2="00000016" w:usb3="00000000" w:csb0="00040001" w:csb1="00000000"/>
    <w:embedRegular r:id="rId9" w:fontKey="{52868848-C46C-41B4-B0EB-E4D0E90D2D8F}"/>
  </w:font>
  <w:font w:name="楷体">
    <w:panose1 w:val="02010609060101010101"/>
    <w:charset w:val="86"/>
    <w:family w:val="modern"/>
    <w:pitch w:val="default"/>
    <w:sig w:usb0="800002BF" w:usb1="38CF7CFA" w:usb2="00000016" w:usb3="00000000" w:csb0="00040001" w:csb1="00000000"/>
    <w:embedRegular r:id="rId10" w:fontKey="{1E149654-7126-4643-BFDC-E88F9F918AAF}"/>
  </w:font>
  <w:font w:name="WPSEMBED183">
    <w:panose1 w:val="03000509000000000000"/>
    <w:charset w:val="86"/>
    <w:family w:val="auto"/>
    <w:pitch w:val="default"/>
    <w:sig w:usb0="00000001" w:usb1="080E0000" w:usb2="00000000" w:usb3="00000000" w:csb0="00040000" w:csb1="00000000"/>
  </w:font>
  <w:font w:name="WPSEMBED184">
    <w:panose1 w:val="03000509000000000000"/>
    <w:charset w:val="86"/>
    <w:family w:val="auto"/>
    <w:pitch w:val="default"/>
    <w:sig w:usb0="00000001" w:usb1="080E0000" w:usb2="00000000" w:usb3="00000000" w:csb0="00040000" w:csb1="00000000"/>
  </w:font>
  <w:font w:name="WPSEMBED181">
    <w:panose1 w:val="02010609030101010101"/>
    <w:charset w:val="86"/>
    <w:family w:val="auto"/>
    <w:pitch w:val="default"/>
    <w:sig w:usb0="00000001" w:usb1="080E0000" w:usb2="00000000" w:usb3="00000000" w:csb0="00040000" w:csb1="00000000"/>
  </w:font>
  <w:font w:name="WPSEMBED185">
    <w:panose1 w:val="03000509000000000000"/>
    <w:charset w:val="86"/>
    <w:family w:val="auto"/>
    <w:pitch w:val="default"/>
    <w:sig w:usb0="00000001" w:usb1="080E0000" w:usb2="00000000" w:usb3="00000000" w:csb0="00040000" w:csb1="00000000"/>
  </w:font>
  <w:font w:name="WPSEMBED182">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572D7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A74F01"/>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786E19"/>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901E58"/>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2477F2"/>
    <w:rsid w:val="2433701E"/>
    <w:rsid w:val="24396D35"/>
    <w:rsid w:val="244D0366"/>
    <w:rsid w:val="2483014E"/>
    <w:rsid w:val="24C70583"/>
    <w:rsid w:val="24EC5DD1"/>
    <w:rsid w:val="24FE0AAE"/>
    <w:rsid w:val="250133CD"/>
    <w:rsid w:val="2524556B"/>
    <w:rsid w:val="25494FC2"/>
    <w:rsid w:val="257D44A6"/>
    <w:rsid w:val="25A477D9"/>
    <w:rsid w:val="25A53AC0"/>
    <w:rsid w:val="25A86641"/>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B62C95"/>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AE3D10"/>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945C1B"/>
    <w:rsid w:val="33AA1331"/>
    <w:rsid w:val="34201B1F"/>
    <w:rsid w:val="34500549"/>
    <w:rsid w:val="34620C63"/>
    <w:rsid w:val="34780FBD"/>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83F7F"/>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C725D3"/>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74EA2"/>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BF40CD"/>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33A22"/>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095608"/>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AC5FCD"/>
    <w:rsid w:val="60E94998"/>
    <w:rsid w:val="61314F95"/>
    <w:rsid w:val="61623540"/>
    <w:rsid w:val="616B1851"/>
    <w:rsid w:val="617C1E18"/>
    <w:rsid w:val="624A0A6B"/>
    <w:rsid w:val="624B2E2A"/>
    <w:rsid w:val="625A315D"/>
    <w:rsid w:val="627529DC"/>
    <w:rsid w:val="629417F0"/>
    <w:rsid w:val="62BA27AC"/>
    <w:rsid w:val="631D5A96"/>
    <w:rsid w:val="63212E5F"/>
    <w:rsid w:val="634E3CB8"/>
    <w:rsid w:val="63681C2B"/>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A3330D"/>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9FF36E3"/>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D76D83"/>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5399</Words>
  <Characters>5519</Characters>
  <Lines>101</Lines>
  <Paragraphs>28</Paragraphs>
  <TotalTime>0</TotalTime>
  <ScaleCrop>false</ScaleCrop>
  <LinksUpToDate>false</LinksUpToDate>
  <CharactersWithSpaces>5626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2026-05-14T08:15:00Z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eyJoZGlkIjoiMzc1OGNlMDJlMzRlMzMzYmE1ZjU3MzU3ZjgyMjI5MWIiLCJ1c2VySWQiOiIxMjgyNDcwNjU2In0=</vt:lpwstr>
  </property>
</Properties>
</file>