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34FBE">
      <w:pPr>
        <w:pStyle w:val="2"/>
      </w:pPr>
      <w:r>
        <w:rPr>
          <w:rFonts w:hint="eastAsia"/>
          <w:lang w:val="en-US" w:eastAsia="zh-CN"/>
        </w:rPr>
        <w:t xml:space="preserve">附件1  </w:t>
      </w:r>
      <w:r>
        <w:t>分布式存储采购阳光推介要求</w:t>
      </w:r>
    </w:p>
    <w:p w14:paraId="0F65B052">
      <w:pPr>
        <w:pStyle w:val="3"/>
      </w:pPr>
      <w:r>
        <w:t>一、推介会基本情况</w:t>
      </w:r>
    </w:p>
    <w:p w14:paraId="44080F68">
      <w:pPr>
        <w:pStyle w:val="4"/>
      </w:pPr>
      <w:r>
        <w:t>项目名称</w:t>
      </w:r>
    </w:p>
    <w:p w14:paraId="07D80E17">
      <w:r>
        <w:rPr>
          <w:rFonts w:hint="eastAsia"/>
          <w:lang w:val="en-US" w:eastAsia="zh-CN"/>
        </w:rPr>
        <w:t>重医附二院</w:t>
      </w:r>
      <w:r>
        <w:t>分布式存储采购项目</w:t>
      </w:r>
    </w:p>
    <w:p w14:paraId="07072C77">
      <w:pPr>
        <w:pStyle w:val="4"/>
      </w:pPr>
      <w:r>
        <w:t>项目背景与需求</w:t>
      </w:r>
    </w:p>
    <w:p w14:paraId="41A86387">
      <w:pPr>
        <w:rPr>
          <w:lang w:val="en-US" w:eastAsia="zh-CN"/>
        </w:rPr>
      </w:pPr>
      <w:r>
        <w:rPr>
          <w:lang w:val="en-US" w:eastAsia="zh-CN"/>
        </w:rPr>
        <w:t>我院现有PACS存储系统包含江南院区一套5节点分布式文件存储及一套统一存储，渝中院区一套统一存储；为满足业务增长及数据安全需求，现计划在渝中院区增购一套5节点分布式存储集群，作为PACS影像数据等核心业务的在线主存储，该集群需同时提供高性能文件存储、对象存储和块存储服务。在此基础上，从全院存储架构的顶层视角出发，建立覆盖江南、渝中两院区、整合在线、近线、归档三级存储的统一管理平台，最终构建一套“高性能、高可用、易扩展、国产化”的医疗影像分布式存储体系，实现全院PACS影像数据</w:t>
      </w:r>
      <w:r>
        <w:rPr>
          <w:rFonts w:hint="eastAsia"/>
          <w:lang w:val="en-US" w:eastAsia="zh-CN"/>
        </w:rPr>
        <w:t>等</w:t>
      </w:r>
      <w:r>
        <w:rPr>
          <w:lang w:val="en-US" w:eastAsia="zh-CN"/>
        </w:rPr>
        <w:t>的统一调度、智能分层与全生命周期管理，支撑未来5-10年医院业务发展与技术演进需求。</w:t>
      </w:r>
    </w:p>
    <w:p w14:paraId="6CC8D220">
      <w:pPr>
        <w:pStyle w:val="4"/>
      </w:pPr>
      <w:r>
        <w:t>现场调研</w:t>
      </w:r>
    </w:p>
    <w:p w14:paraId="7AB0477A">
      <w:r>
        <w:t>建议响应人于公示报名截止前完成现场调研，深入了解现网环境与数据量，以出具合理方案。是否参与调研，均视为已充分知悉项目全部情况及风险。</w:t>
      </w:r>
    </w:p>
    <w:p w14:paraId="53726596">
      <w:pPr>
        <w:pStyle w:val="4"/>
      </w:pPr>
      <w:r>
        <w:t>联系人</w:t>
      </w:r>
    </w:p>
    <w:p w14:paraId="6784535B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渝中院区：傅</w:t>
      </w:r>
      <w:r>
        <w:rPr>
          <w:rFonts w:hint="eastAsia"/>
          <w:lang w:val="en-US" w:eastAsia="zh-CN"/>
        </w:rPr>
        <w:t>亚</w:t>
      </w:r>
      <w:r>
        <w:t>飞（199423</w:t>
      </w:r>
      <w:r>
        <w:rPr>
          <w:rFonts w:hint="eastAsia"/>
          <w:lang w:val="en-US" w:eastAsia="zh-CN"/>
        </w:rPr>
        <w:t>31</w:t>
      </w:r>
      <w:r>
        <w:t>800）</w:t>
      </w:r>
    </w:p>
    <w:p w14:paraId="012F5C46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江南院区：余</w:t>
      </w:r>
      <w:r>
        <w:rPr>
          <w:rFonts w:hint="eastAsia"/>
          <w:lang w:val="en-US" w:eastAsia="zh-CN"/>
        </w:rPr>
        <w:t>朋</w:t>
      </w:r>
      <w:r>
        <w:t>波（199423</w:t>
      </w:r>
      <w:r>
        <w:rPr>
          <w:rFonts w:hint="eastAsia"/>
          <w:lang w:val="en-US" w:eastAsia="zh-CN"/>
        </w:rPr>
        <w:t>316</w:t>
      </w:r>
      <w:r>
        <w:t>68）</w:t>
      </w:r>
    </w:p>
    <w:p w14:paraId="0CBF91EC">
      <w:pPr>
        <w:pStyle w:val="3"/>
      </w:pPr>
      <w:r>
        <w:t>三、推介人资格要求</w:t>
      </w:r>
    </w:p>
    <w:p w14:paraId="0CEB4C8C">
      <w:pPr>
        <w:pStyle w:val="4"/>
      </w:pPr>
      <w:r>
        <w:t>1. 基本资格条件</w:t>
      </w:r>
    </w:p>
    <w:p w14:paraId="0DB93C6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具有独立承担民事责任的能力；</w:t>
      </w:r>
    </w:p>
    <w:p w14:paraId="7ADF994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具有良好的商业信誉和健全的财务会计制度；</w:t>
      </w:r>
    </w:p>
    <w:p w14:paraId="47EAFF13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具有履行合同所必需的设备和专业技术能力；</w:t>
      </w:r>
    </w:p>
    <w:p w14:paraId="6EEBF196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有依法缴纳税收和社会保障资金的良好记录；</w:t>
      </w:r>
    </w:p>
    <w:p w14:paraId="45898E75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前三年内经营活动中无重大违法记录；</w:t>
      </w:r>
    </w:p>
    <w:p w14:paraId="20D316E5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法律、行政法规规定的其他条件。</w:t>
      </w:r>
    </w:p>
    <w:p w14:paraId="12024905">
      <w:pPr>
        <w:pStyle w:val="4"/>
        <w:rPr>
          <w:rFonts w:hint="default" w:eastAsia="宋体"/>
          <w:b w:val="0"/>
          <w:bCs w:val="0"/>
          <w:lang w:val="en-US" w:eastAsia="zh-CN"/>
        </w:rPr>
      </w:pPr>
      <w:r>
        <w:t>2. 特定资格条件</w:t>
      </w:r>
      <w:r>
        <w:rPr>
          <w:rFonts w:hint="eastAsia"/>
          <w:lang w:val="en-US" w:eastAsia="zh-CN"/>
        </w:rPr>
        <w:t>:</w:t>
      </w:r>
      <w:r>
        <w:rPr>
          <w:rFonts w:hint="eastAsia"/>
          <w:b w:val="0"/>
          <w:bCs w:val="0"/>
          <w:lang w:val="en-US" w:eastAsia="zh-CN"/>
        </w:rPr>
        <w:t>无</w:t>
      </w:r>
    </w:p>
    <w:p w14:paraId="3682BCFB">
      <w:pPr>
        <w:pStyle w:val="3"/>
      </w:pPr>
      <w:r>
        <w:t>四、硬件技术参数要求</w:t>
      </w:r>
    </w:p>
    <w:p w14:paraId="404D2385">
      <w:pPr>
        <w:pStyle w:val="4"/>
      </w:pPr>
      <w:r>
        <w:t>1. 节点配置（单节点）</w:t>
      </w:r>
    </w:p>
    <w:p w14:paraId="4444C216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CPU：不低于16核，主频≥2.2GHz。</w:t>
      </w:r>
    </w:p>
    <w:p w14:paraId="7890FBD8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内存：一级缓存容量≥256GB。</w:t>
      </w:r>
    </w:p>
    <w:p w14:paraId="0DF3D096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系统盘：≥2块960GB SSD，组建RAID1镜像，具备掉电保护功能（不计入可用容量）。</w:t>
      </w:r>
    </w:p>
    <w:p w14:paraId="1C13C0E2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缓存盘：≥2块3.84TB NVMe SSD，具备掉电保护功能（不计入可用容量）。</w:t>
      </w:r>
    </w:p>
    <w:p w14:paraId="45C6708E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数据盘：采用7200RPM SATA或NL SAS企业级硬盘。</w:t>
      </w:r>
    </w:p>
    <w:p w14:paraId="6801ECD4">
      <w:pPr>
        <w:pStyle w:val="4"/>
      </w:pPr>
      <w:r>
        <w:t>2. 可用容量</w:t>
      </w:r>
    </w:p>
    <w:p w14:paraId="7B6FD81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经纠删码保护后，文件存储实际可用空间</w:t>
      </w:r>
      <w:r>
        <w:rPr>
          <w:highlight w:val="none"/>
        </w:rPr>
        <w:t>≥500TB</w:t>
      </w:r>
      <w:r>
        <w:t>。</w:t>
      </w:r>
    </w:p>
    <w:p w14:paraId="2EA451D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块存储实际可用空间</w:t>
      </w:r>
      <w:r>
        <w:rPr>
          <w:highlight w:val="none"/>
        </w:rPr>
        <w:t>≥200TB</w:t>
      </w:r>
      <w:r>
        <w:t>。</w:t>
      </w:r>
    </w:p>
    <w:p w14:paraId="577EB6F8">
      <w:pPr>
        <w:spacing w:before="0" w:beforeAutospacing="1" w:after="0" w:afterAutospacing="1"/>
        <w:ind w:left="720"/>
      </w:pPr>
      <w:r>
        <w:t>（上述两类空间需求需同时满足，不可混用或共享计数）</w:t>
      </w:r>
    </w:p>
    <w:p w14:paraId="693928D0">
      <w:pPr>
        <w:pStyle w:val="4"/>
      </w:pPr>
      <w:r>
        <w:t>3. 网络接口</w:t>
      </w:r>
    </w:p>
    <w:p w14:paraId="541737FF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每节点≥4个10GbE SFP+端口（满配多模光模块）；</w:t>
      </w:r>
    </w:p>
    <w:p w14:paraId="33EC848F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1个1GbE RJ - 45管理网口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支持snmp、IPMI，常规节点硬件等状态监控、远程</w:t>
      </w:r>
      <w:r>
        <w:rPr>
          <w:rFonts w:hint="eastAsia"/>
          <w:lang w:eastAsia="zh-CN"/>
        </w:rPr>
        <w:t>）</w:t>
      </w:r>
      <w:r>
        <w:t>；</w:t>
      </w:r>
    </w:p>
    <w:p w14:paraId="415AEB31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磁盘扩展柜级联端口（数量以支撑满配扩展为准）。</w:t>
      </w:r>
    </w:p>
    <w:p w14:paraId="6737F1CD">
      <w:r>
        <w:t>如配置有25GbE、100GbE等更高速率接口，请在方案中专项说明。</w:t>
      </w:r>
    </w:p>
    <w:p w14:paraId="4F4072B6">
      <w:pPr>
        <w:pStyle w:val="4"/>
      </w:pPr>
      <w:r>
        <w:t>4. 集群网络配套</w:t>
      </w:r>
    </w:p>
    <w:p w14:paraId="601BC236">
      <w:r>
        <w:t>配置2台心跳交换机，用于内部东西向冗余通信。建议为10GbE/25GbE L2/L3交换机，支持MLAG或堆叠，满配所</w:t>
      </w:r>
      <w:r>
        <w:rPr>
          <w:rFonts w:hint="eastAsia"/>
          <w:lang w:val="en-US" w:eastAsia="zh-CN"/>
        </w:rPr>
        <w:t>有接口</w:t>
      </w:r>
      <w:r>
        <w:t>光模块与线缆。</w:t>
      </w:r>
    </w:p>
    <w:p w14:paraId="59F37037">
      <w:pPr>
        <w:pStyle w:val="4"/>
      </w:pPr>
      <w:r>
        <w:t>5. 配套耗材</w:t>
      </w:r>
    </w:p>
    <w:p w14:paraId="6AF0B808">
      <w:r>
        <w:t>项目实施所需的所有光纤、网线、理线器、电源线等耗材由响应人提供，须为市场主流品牌正品，不再另行计费。</w:t>
      </w:r>
    </w:p>
    <w:p w14:paraId="51AED8F5">
      <w:pPr>
        <w:pStyle w:val="3"/>
      </w:pPr>
      <w:r>
        <w:t>五、功能、性能与扩展性要求</w:t>
      </w:r>
    </w:p>
    <w:p w14:paraId="30DDD656">
      <w:pPr>
        <w:pStyle w:val="4"/>
      </w:pPr>
      <w:r>
        <w:t>1. 弹性架构与线性扩展</w:t>
      </w:r>
    </w:p>
    <w:p w14:paraId="68CF15E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性能与容量随节点数增加线性增长，单节点加入后集群整体性能可获得近线性提升。</w:t>
      </w:r>
    </w:p>
    <w:p w14:paraId="6380B1C2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支持横向扩展（增加节点）与纵向扩展（增加硬盘/扩展柜），后期可单独采购任意数量单节点加入现有集群，通过统一管理平台纳管。</w:t>
      </w:r>
    </w:p>
    <w:p w14:paraId="3DFC642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扩容至同一共享目录时，不得因节点代数、容量差异设置技术壁垒或强制收取额外许可费用。</w:t>
      </w:r>
    </w:p>
    <w:p w14:paraId="1031DCD5">
      <w:pPr>
        <w:pStyle w:val="4"/>
      </w:pPr>
      <w:r>
        <w:t>2. 数据高可用与智能保护</w:t>
      </w:r>
    </w:p>
    <w:p w14:paraId="5057EBF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支持硬盘级、节点级高可用架构，可配置故障域，保障数据在多级故障下不丢失。</w:t>
      </w:r>
    </w:p>
    <w:p w14:paraId="681E59C2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数据冗余：支持N + M纠删码及多副本策略，可针对不同目录或卷设置不同冗余级别；允许</w:t>
      </w:r>
      <w:r>
        <w:rPr>
          <w:rFonts w:hint="eastAsia"/>
          <w:lang w:val="en-US" w:eastAsia="zh-CN"/>
        </w:rPr>
        <w:t>单节点故障</w:t>
      </w:r>
      <w:r>
        <w:t>，</w:t>
      </w:r>
      <w:r>
        <w:rPr>
          <w:rFonts w:hint="eastAsia"/>
          <w:lang w:val="en-US" w:eastAsia="zh-CN"/>
        </w:rPr>
        <w:t>跨节点允许任意</w:t>
      </w:r>
      <w:r>
        <w:rPr>
          <w:rFonts w:hint="default"/>
          <w:lang w:eastAsia="zh-CN"/>
        </w:rPr>
        <w:t>2</w:t>
      </w:r>
      <w:r>
        <w:rPr>
          <w:rFonts w:hint="eastAsia"/>
          <w:lang w:val="en-US" w:eastAsia="zh-CN"/>
        </w:rPr>
        <w:t>节点同时故障磁盘≥1块，</w:t>
      </w:r>
      <w:r>
        <w:t>业务无感知。</w:t>
      </w:r>
    </w:p>
    <w:p w14:paraId="6F276977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highlight w:val="none"/>
        </w:rPr>
      </w:pPr>
      <w:r>
        <w:t>智能磁盘治理：具备磁盘健康预测、疑似故障盘数据主动迁移至热备空间</w:t>
      </w:r>
      <w:r>
        <w:rPr>
          <w:rFonts w:hint="eastAsia"/>
          <w:lang w:val="en-US" w:eastAsia="zh-CN"/>
        </w:rPr>
        <w:t>或</w:t>
      </w:r>
      <w:r>
        <w:rPr>
          <w:rFonts w:hint="eastAsia"/>
          <w:highlight w:val="none"/>
          <w:lang w:val="en-US" w:eastAsia="zh-CN"/>
        </w:rPr>
        <w:t>正常节点</w:t>
      </w:r>
      <w:r>
        <w:rPr>
          <w:highlight w:val="none"/>
        </w:rPr>
        <w:t>的能力，更换新盘后自动回拷，避免漫长重建窗口。</w:t>
      </w:r>
    </w:p>
    <w:p w14:paraId="4B2F2E16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内建安全能力：集成回收站（防误删）、文件行为审计、勒索病毒诱捕/阻断为一体的存储级安全平台，可有效应对勒索攻击等威胁。</w:t>
      </w:r>
    </w:p>
    <w:p w14:paraId="66545DC6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快照与远程保护：支持目录级和卷级定时/手动快照，快照无性能影响；支持Rsync异步复制及基于快照的远程复制/站点同步，满足异地灾备需求。</w:t>
      </w:r>
    </w:p>
    <w:p w14:paraId="74CCFE47">
      <w:pPr>
        <w:pStyle w:val="4"/>
      </w:pPr>
      <w:r>
        <w:t>3. 协议兼容性</w:t>
      </w:r>
    </w:p>
    <w:p w14:paraId="10EF02A0">
      <w:r>
        <w:t>同时支持并开放NFSv3/v4、iSCSI、CIFS/SMBv3、FTP/SFTP、S3对象协议等</w:t>
      </w:r>
      <w:r>
        <w:rPr>
          <w:rFonts w:hint="eastAsia"/>
          <w:lang w:val="en-US" w:eastAsia="zh-CN"/>
        </w:rPr>
        <w:t>常用协议</w:t>
      </w:r>
      <w:r>
        <w:t>，所有协议可基于同一集群并行提供，无需独立网关节点。</w:t>
      </w:r>
    </w:p>
    <w:p w14:paraId="01F9581D">
      <w:pPr>
        <w:pStyle w:val="4"/>
      </w:pPr>
      <w:r>
        <w:t>4. 高效数据管理与性能</w:t>
      </w:r>
    </w:p>
    <w:p w14:paraId="55ACB875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t>小文件性能优化：支持将小于指定阈值的随机小IO先写入NVMe缓存层，在缓存内完成排序、合并后顺序下刷至容量层，降低写放大并提升写入吞吐。</w:t>
      </w:r>
    </w:p>
    <w:p w14:paraId="373940E8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t>冷热分层：支持基于访问频度策略的冷热数据自动分层迁移，可设置缓存数据块大小范围（4KB~2MB），并支持缓存淘汰策略自定义。</w:t>
      </w:r>
    </w:p>
    <w:p w14:paraId="30C3169D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t>目录级多维管理：可对任意级联目录独立设置共享（NFS/SMB）、配额、快照计划、QoS限速等策略，且变更路径不影响前端业务路径。</w:t>
      </w:r>
    </w:p>
    <w:p w14:paraId="0BDBFC78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color w:val="auto"/>
          <w:highlight w:val="none"/>
        </w:rPr>
      </w:pPr>
      <w:r>
        <w:t>在线变更模式：支持同一共享文件夹下不同分布式文件系统的创建，以及</w:t>
      </w:r>
      <w:r>
        <w:rPr>
          <w:color w:val="auto"/>
          <w:highlight w:val="none"/>
        </w:rPr>
        <w:t>文件系统模式在线变更，不改变挂载路径、不中断业务。</w:t>
      </w:r>
    </w:p>
    <w:p w14:paraId="69D5F01D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rFonts w:hint="eastAsia"/>
          <w:lang w:val="en-US" w:eastAsia="zh-CN"/>
        </w:rPr>
        <w:t>数据缩减：支持对文件进行压缩节省存储空间</w:t>
      </w:r>
      <w:r>
        <w:t>。</w:t>
      </w:r>
    </w:p>
    <w:p w14:paraId="3F3C33A4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rFonts w:hint="eastAsia"/>
          <w:lang w:val="en-US" w:eastAsia="zh-CN"/>
        </w:rPr>
        <w:t>负载均衡：支持业务访问节点自动负载均衡降低单节点I/O压力</w:t>
      </w:r>
      <w:r>
        <w:t>。</w:t>
      </w:r>
    </w:p>
    <w:p w14:paraId="5279D02F">
      <w:pPr>
        <w:pStyle w:val="4"/>
      </w:pPr>
      <w:r>
        <w:t>5. 权限与认证集成</w:t>
      </w:r>
    </w:p>
    <w:p w14:paraId="1B20D79D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t>支持本地用户/群组管理、文件夹ACL控制。</w:t>
      </w:r>
    </w:p>
    <w:p w14:paraId="7535503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t>无缝对接Windows AD/LDAP域认证，支持Windows ACL和Linux NIS，满足混合环境统一鉴权。</w:t>
      </w:r>
    </w:p>
    <w:p w14:paraId="1D789A24">
      <w:pPr>
        <w:pStyle w:val="4"/>
      </w:pPr>
      <w:r>
        <w:t>6. 可视化</w:t>
      </w:r>
      <w:r>
        <w:rPr>
          <w:rFonts w:hint="eastAsia"/>
          <w:lang w:val="en-US" w:eastAsia="zh-CN"/>
        </w:rPr>
        <w:t>统一</w:t>
      </w:r>
      <w:bookmarkStart w:id="0" w:name="_GoBack"/>
      <w:bookmarkEnd w:id="0"/>
      <w:r>
        <w:t>管理平台</w:t>
      </w:r>
    </w:p>
    <w:p w14:paraId="1807BF6B">
      <w:pPr>
        <w:pStyle w:val="4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  <w:t>系统需内嵌全中文图形化Web管理控制台，支持向导式安装部署与命令行免操作，可统一纳管所有节点，提供资源概况、精准性能监控、故障告警、日志审计及扩容引导等全功能，同时具备集群健康度评分、容量预测等智能运维辅助，并支持个性化定制LOGO及平台名称；系统升级与补丁更新须支持热升级方式，确保业务不中断。在此基础上，构建覆盖江南、渝中两院区异构存储的统一管理平台，实现全局命名空间、统一存储视图、自动化数据流转与智能运维。（须在方案中描述具体实现方式）</w:t>
      </w:r>
    </w:p>
    <w:p w14:paraId="6BC138A1">
      <w:pPr>
        <w:pStyle w:val="4"/>
      </w:pPr>
      <w:r>
        <w:t>7. 元数据架构</w:t>
      </w:r>
    </w:p>
    <w:p w14:paraId="740F864D">
      <w:r>
        <w:t>采用全对称分布式或确定性哈希等冗余元数据架构，元数据存放于SSD，每个节点均可提供元数据服务，无单点瓶颈及故障点。（须在方案中描述具体实现方式）</w:t>
      </w:r>
    </w:p>
    <w:p w14:paraId="34835837">
      <w:pPr>
        <w:pStyle w:val="3"/>
      </w:pPr>
      <w:r>
        <w:t>六、稳定兼容性与服务要求</w:t>
      </w:r>
    </w:p>
    <w:p w14:paraId="3FF7DEC0">
      <w:pPr>
        <w:pStyle w:val="4"/>
      </w:pPr>
      <w:r>
        <w:t>1. 硬件结构</w:t>
      </w:r>
    </w:p>
    <w:p w14:paraId="3802AB10">
      <w:r>
        <w:t>标准机架式节点，系统固件与存储OS深度嵌入专用的硬件控制器，全模块化设计，冗余可热插拔电源/风扇，支持不停机维护。</w:t>
      </w:r>
    </w:p>
    <w:p w14:paraId="67645941">
      <w:pPr>
        <w:pStyle w:val="4"/>
      </w:pPr>
      <w:r>
        <w:t>2. 售后与质保</w:t>
      </w:r>
    </w:p>
    <w:p w14:paraId="797C7765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免费质保期：整机软硬件原厂质保5年，免费更换故障部件。</w:t>
      </w:r>
    </w:p>
    <w:p w14:paraId="7DD4214B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服务响应：7×24小时，报修后2小时内工程师携带备件到达现场。</w:t>
      </w:r>
    </w:p>
    <w:p w14:paraId="68A4A441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预防性维护：每季度及重大节假日、系统变更前提供免费上门巡检，交付专业巡检报告及优化建议。</w:t>
      </w:r>
    </w:p>
    <w:p w14:paraId="2BA63CB8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数据迁移保障：免费配合院方将现有数据在线迁移至新集群，确保数据完整无损。</w:t>
      </w:r>
    </w:p>
    <w:p w14:paraId="6476A22D">
      <w:pPr>
        <w:pStyle w:val="3"/>
      </w:pPr>
      <w:r>
        <w:t>七、报价要求</w:t>
      </w:r>
    </w:p>
    <w:p w14:paraId="365C643B">
      <w:r>
        <w:t>为确保全生命周期成本透明，请响应人提供以下详细报价：</w:t>
      </w:r>
    </w:p>
    <w:p w14:paraId="3D7EBF6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项目总报价及软硬件分项报价明细（列明品牌、型号、规格、数量、单价）。</w:t>
      </w:r>
    </w:p>
    <w:p w14:paraId="7E07F29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所有涉及软件功能及授权的报价（含高级功能许可、管理授权等，须一次性买断并包含在总价内）。</w:t>
      </w:r>
    </w:p>
    <w:p w14:paraId="32613C09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扩容参考报价</w:t>
      </w:r>
    </w:p>
    <w:p w14:paraId="399B7771">
      <w:pPr>
        <w:numPr>
          <w:ilvl w:val="1"/>
          <w:numId w:val="11"/>
        </w:numPr>
        <w:spacing w:before="0" w:beforeAutospacing="1" w:after="0" w:afterAutospacing="1"/>
        <w:ind w:left="1440" w:hanging="360"/>
      </w:pPr>
      <w:r>
        <w:t>横向扩容：增加1个同架构存储节点的价格（含必要硬盘、网络、软件授权）。</w:t>
      </w:r>
    </w:p>
    <w:p w14:paraId="2E63237B">
      <w:pPr>
        <w:numPr>
          <w:ilvl w:val="1"/>
          <w:numId w:val="11"/>
        </w:numPr>
        <w:spacing w:before="0" w:beforeAutospacing="1" w:after="0" w:afterAutospacing="1"/>
        <w:ind w:left="1440" w:hanging="360"/>
      </w:pPr>
      <w:r>
        <w:t>纵向扩容：增加单套磁盘扩展柜（满配硬盘）的价格。</w:t>
      </w:r>
    </w:p>
    <w:p w14:paraId="3CBB318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质保期满后运维续保服务价格（按年报价，列明服务内容及响应等级）。</w:t>
      </w:r>
    </w:p>
    <w:p w14:paraId="3E398D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BFD12"/>
    <w:multiLevelType w:val="singleLevel"/>
    <w:tmpl w:val="8F3BFD1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">
    <w:nsid w:val="8F6D985C"/>
    <w:multiLevelType w:val="singleLevel"/>
    <w:tmpl w:val="8F6D985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C1BEBC3D"/>
    <w:multiLevelType w:val="singleLevel"/>
    <w:tmpl w:val="C1BEBC3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C32CF31A"/>
    <w:multiLevelType w:val="multilevel"/>
    <w:tmpl w:val="C32CF31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4">
    <w:nsid w:val="CA14D989"/>
    <w:multiLevelType w:val="singleLevel"/>
    <w:tmpl w:val="CA14D989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CE65AD44"/>
    <w:multiLevelType w:val="singleLevel"/>
    <w:tmpl w:val="CE65AD4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E80B3C3C"/>
    <w:multiLevelType w:val="singleLevel"/>
    <w:tmpl w:val="E80B3C3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E866105F"/>
    <w:multiLevelType w:val="singleLevel"/>
    <w:tmpl w:val="E866105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0113171B"/>
    <w:multiLevelType w:val="singleLevel"/>
    <w:tmpl w:val="0113171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0FCAA3B3"/>
    <w:multiLevelType w:val="singleLevel"/>
    <w:tmpl w:val="0FCAA3B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1EB1E7B4"/>
    <w:multiLevelType w:val="singleLevel"/>
    <w:tmpl w:val="1EB1E7B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5500"/>
    <w:rsid w:val="01032D0E"/>
    <w:rsid w:val="09E047E1"/>
    <w:rsid w:val="10832E41"/>
    <w:rsid w:val="12D20E80"/>
    <w:rsid w:val="164B5309"/>
    <w:rsid w:val="1B8F2D2B"/>
    <w:rsid w:val="1BF97AD1"/>
    <w:rsid w:val="1C2919F4"/>
    <w:rsid w:val="201C373B"/>
    <w:rsid w:val="232057F5"/>
    <w:rsid w:val="240B5F24"/>
    <w:rsid w:val="28FD67FF"/>
    <w:rsid w:val="2DF87CBF"/>
    <w:rsid w:val="31A05D9B"/>
    <w:rsid w:val="321A1995"/>
    <w:rsid w:val="32D23EF0"/>
    <w:rsid w:val="32E50D32"/>
    <w:rsid w:val="45B222C8"/>
    <w:rsid w:val="4A0431D8"/>
    <w:rsid w:val="54A11D47"/>
    <w:rsid w:val="566137A4"/>
    <w:rsid w:val="5A7A08CE"/>
    <w:rsid w:val="5BBA40BC"/>
    <w:rsid w:val="5BDC2DF7"/>
    <w:rsid w:val="60A30D33"/>
    <w:rsid w:val="620D33E1"/>
    <w:rsid w:val="62195750"/>
    <w:rsid w:val="63112987"/>
    <w:rsid w:val="64E9358F"/>
    <w:rsid w:val="68990ADC"/>
    <w:rsid w:val="6B0A7BF9"/>
    <w:rsid w:val="6C1F0271"/>
    <w:rsid w:val="6C507CE6"/>
    <w:rsid w:val="6DAC492C"/>
    <w:rsid w:val="6EFF1F7C"/>
    <w:rsid w:val="77CA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2537</Words>
  <Characters>2779</Characters>
  <Lines>0</Lines>
  <Paragraphs>0</Paragraphs>
  <TotalTime>2</TotalTime>
  <ScaleCrop>false</ScaleCrop>
  <LinksUpToDate>false</LinksUpToDate>
  <CharactersWithSpaces>2812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2026-05-13T07:52:00Z</dcterms:created>
  <dc:creator>Administrator</dc:creator>
  <cp:lastModifiedBy>傅亚飞</cp:lastModifiedBy>
  <dcterms:modified xsi:type="dcterms:W3CDTF">2026-05-20T05:01:13Z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eyJoZGlkIjoiN2RiZDhkNjBiMDJkYWM3MjY5YmJhY2IzMjEwNmJkMWEiLCJ1c2VySWQiOiIxNjE3NDg4MTA5In0=</vt:lpwstr>
  </property>
  <property fmtid="{D5CDD505-2E9C-101B-9397-08002B2CF9AE}" pid="4" name="ICV">
    <vt:lpwstr>AD31AE046E204138BDD5FA4FD28E4654_12</vt:lpwstr>
  </property>
</Properties>
</file>