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重庆医科大学附属第二医院电梯加装</w:t>
      </w:r>
      <w:r>
        <w:rPr>
          <w:rFonts w:hint="eastAsia" w:ascii="仿宋" w:hAnsi="仿宋" w:eastAsia="仿宋"/>
          <w:b/>
          <w:sz w:val="32"/>
          <w:szCs w:val="32"/>
        </w:rPr>
        <w:t>阳光推介文件</w:t>
      </w:r>
    </w:p>
    <w:tbl>
      <w:tblPr>
        <w:tblStyle w:val="1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20"/>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20"/>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20"/>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6"/>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6"/>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b w:val="0"/>
                <w:bCs/>
                <w:sz w:val="24"/>
                <w:szCs w:val="24"/>
                <w:lang w:val="en-US" w:eastAsia="zh-CN"/>
              </w:rPr>
              <w:t>重庆医科大学附属第二医院电梯加装</w:t>
            </w:r>
            <w:r>
              <w:rPr>
                <w:rFonts w:hint="eastAsia" w:ascii="仿宋" w:hAnsi="仿宋" w:eastAsia="仿宋"/>
                <w:b w:val="0"/>
                <w:bCs/>
                <w:sz w:val="24"/>
                <w:szCs w:val="24"/>
              </w:rPr>
              <w:t>阳光</w:t>
            </w:r>
            <w:r>
              <w:rPr>
                <w:rFonts w:hint="eastAsia" w:ascii="仿宋" w:hAnsi="仿宋" w:eastAsia="仿宋"/>
                <w:b w:val="0"/>
                <w:bCs/>
                <w:sz w:val="24"/>
                <w:szCs w:val="24"/>
                <w:lang w:val="en-US" w:eastAsia="zh-CN"/>
              </w:rPr>
              <w:t>推介</w:t>
            </w:r>
            <w:r>
              <w:rPr>
                <w:rFonts w:hint="eastAsia" w:ascii="仿宋" w:hAnsi="仿宋" w:eastAsia="仿宋" w:cs="仿宋"/>
                <w:b w:val="0"/>
                <w:bCs w:val="0"/>
                <w:color w:val="auto"/>
                <w:sz w:val="24"/>
                <w:szCs w:val="24"/>
                <w:highlight w:val="none"/>
                <w:lang w:val="en-US"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20"/>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20"/>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2F1533AD">
            <w:pPr>
              <w:pStyle w:val="20"/>
              <w:spacing w:line="360" w:lineRule="auto"/>
              <w:ind w:firstLine="0"/>
              <w:rPr>
                <w:rFonts w:ascii="仿宋" w:hAnsi="仿宋" w:eastAsia="仿宋" w:cs="宋体"/>
                <w:kern w:val="2"/>
                <w:szCs w:val="24"/>
              </w:rPr>
            </w:pPr>
            <w:r>
              <w:rPr>
                <w:rFonts w:hint="eastAsia" w:ascii="仿宋_GB2312" w:eastAsia="仿宋_GB2312"/>
                <w:color w:val="auto"/>
                <w:sz w:val="24"/>
                <w:highlight w:val="none"/>
                <w:lang w:val="en-US" w:eastAsia="zh-CN"/>
              </w:rPr>
              <w:t>1.项目地点：</w:t>
            </w:r>
            <w:r>
              <w:rPr>
                <w:rFonts w:hint="eastAsia" w:ascii="仿宋" w:hAnsi="仿宋" w:eastAsia="仿宋"/>
                <w:szCs w:val="24"/>
              </w:rPr>
              <w:t>重庆医科大学附属第二医院</w:t>
            </w:r>
            <w:r>
              <w:rPr>
                <w:rFonts w:hint="eastAsia" w:ascii="仿宋" w:hAnsi="仿宋" w:eastAsia="仿宋"/>
                <w:szCs w:val="24"/>
                <w:lang w:val="en-US" w:eastAsia="zh-CN"/>
              </w:rPr>
              <w:t>江南</w:t>
            </w:r>
            <w:r>
              <w:rPr>
                <w:rFonts w:hint="eastAsia" w:ascii="仿宋" w:hAnsi="仿宋" w:eastAsia="仿宋"/>
                <w:szCs w:val="24"/>
              </w:rPr>
              <w:t>院区</w:t>
            </w:r>
            <w:r>
              <w:rPr>
                <w:rFonts w:hint="eastAsia" w:ascii="仿宋" w:hAnsi="仿宋" w:eastAsia="仿宋"/>
                <w:szCs w:val="24"/>
                <w:lang w:eastAsia="zh-CN"/>
              </w:rPr>
              <w:t>、</w:t>
            </w:r>
            <w:r>
              <w:rPr>
                <w:rFonts w:hint="eastAsia" w:ascii="仿宋" w:hAnsi="仿宋" w:eastAsia="仿宋"/>
                <w:szCs w:val="24"/>
                <w:lang w:val="en-US" w:eastAsia="zh-CN"/>
              </w:rPr>
              <w:t>科教楼</w:t>
            </w:r>
            <w:r>
              <w:rPr>
                <w:rFonts w:hint="eastAsia" w:ascii="仿宋" w:hAnsi="仿宋" w:eastAsia="仿宋"/>
                <w:szCs w:val="24"/>
              </w:rPr>
              <w:t>（</w:t>
            </w:r>
            <w:r>
              <w:rPr>
                <w:rFonts w:hint="eastAsia" w:ascii="仿宋" w:hAnsi="仿宋" w:eastAsia="仿宋"/>
                <w:szCs w:val="24"/>
                <w:lang w:val="en-US" w:eastAsia="zh-CN"/>
              </w:rPr>
              <w:t>天文大道288号</w:t>
            </w:r>
            <w:r>
              <w:rPr>
                <w:rFonts w:hint="eastAsia" w:ascii="仿宋" w:hAnsi="仿宋" w:eastAsia="仿宋"/>
                <w:szCs w:val="24"/>
              </w:rPr>
              <w:t>）。</w:t>
            </w:r>
          </w:p>
          <w:p w14:paraId="5104FFF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2.采购内容：新电梯采购及安装</w:t>
            </w:r>
            <w:r>
              <w:rPr>
                <w:rFonts w:hint="eastAsia" w:ascii="仿宋" w:hAnsi="仿宋" w:eastAsia="仿宋" w:cs="仿宋"/>
                <w:color w:val="auto"/>
                <w:sz w:val="24"/>
                <w:szCs w:val="24"/>
                <w:highlight w:val="none"/>
                <w:lang w:val="en-US" w:eastAsia="zh-CN"/>
              </w:rPr>
              <w:t>。</w:t>
            </w:r>
          </w:p>
          <w:p w14:paraId="7EDD1351">
            <w:pPr>
              <w:pStyle w:val="20"/>
              <w:spacing w:line="360" w:lineRule="auto"/>
              <w:ind w:firstLine="0"/>
              <w:rPr>
                <w:rFonts w:ascii="仿宋" w:hAnsi="仿宋" w:eastAsia="方正仿宋_GB2312" w:cs="宋体"/>
                <w:kern w:val="2"/>
                <w:szCs w:val="24"/>
              </w:rPr>
            </w:pPr>
            <w:r>
              <w:rPr>
                <w:rFonts w:hint="eastAsia" w:ascii="仿宋_GB2312" w:eastAsia="仿宋_GB2312"/>
                <w:color w:val="auto"/>
                <w:sz w:val="24"/>
                <w:highlight w:val="none"/>
                <w:lang w:val="en-US" w:eastAsia="zh-CN"/>
              </w:rPr>
              <w:t>3.质保期（验收合格之日起）：</w:t>
            </w:r>
            <w:r>
              <w:rPr>
                <w:rFonts w:hint="eastAsia"/>
                <w:color w:val="auto"/>
                <w:sz w:val="24"/>
                <w:highlight w:val="none"/>
                <w:lang w:val="en-US" w:eastAsia="zh-CN"/>
              </w:rPr>
              <w:t>5</w:t>
            </w:r>
            <w:r>
              <w:rPr>
                <w:rFonts w:hint="eastAsia" w:ascii="仿宋_GB2312" w:eastAsia="仿宋_GB2312"/>
                <w:color w:val="auto"/>
                <w:sz w:val="24"/>
                <w:highlight w:val="none"/>
                <w:lang w:val="en-US" w:eastAsia="zh-CN"/>
              </w:rPr>
              <w:t>年</w:t>
            </w:r>
            <w:r>
              <w:rPr>
                <w:rFonts w:hint="eastAsia"/>
                <w:color w:val="auto"/>
                <w:sz w:val="24"/>
                <w:highlight w:val="none"/>
                <w:lang w:val="en-US" w:eastAsia="zh-CN"/>
              </w:rPr>
              <w:t>（质保含维保）</w:t>
            </w:r>
            <w:r>
              <w:rPr>
                <w:rFonts w:hint="eastAsia" w:ascii="仿宋_GB2312" w:eastAsia="仿宋_GB2312"/>
                <w:color w:val="auto"/>
                <w:sz w:val="24"/>
                <w:highlight w:val="none"/>
                <w:lang w:val="en-US" w:eastAsia="zh-CN"/>
              </w:rPr>
              <w:t>。</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20"/>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20"/>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1F201532">
            <w:pPr>
              <w:pStyle w:val="20"/>
              <w:numPr>
                <w:ilvl w:val="0"/>
                <w:numId w:val="0"/>
              </w:numPr>
              <w:spacing w:line="360" w:lineRule="auto"/>
              <w:rPr>
                <w:rFonts w:hint="eastAsia" w:ascii="仿宋" w:hAnsi="仿宋" w:eastAsia="仿宋" w:cstheme="minorBidi"/>
                <w:szCs w:val="24"/>
                <w:lang w:val="en-US" w:eastAsia="zh-CN"/>
              </w:rPr>
            </w:pPr>
            <w:r>
              <w:rPr>
                <w:rFonts w:hint="eastAsia" w:ascii="仿宋" w:hAnsi="仿宋" w:eastAsia="仿宋" w:cstheme="minorBidi"/>
                <w:szCs w:val="24"/>
                <w:lang w:val="en-US" w:eastAsia="zh-CN"/>
              </w:rPr>
              <w:t>重庆医科大学附属第二医院江南院区科教楼加装外部无机房电梯一部。</w:t>
            </w:r>
          </w:p>
          <w:p w14:paraId="14A17486">
            <w:pPr>
              <w:pStyle w:val="20"/>
              <w:numPr>
                <w:ilvl w:val="0"/>
                <w:numId w:val="0"/>
              </w:numPr>
              <w:spacing w:line="360" w:lineRule="auto"/>
              <w:rPr>
                <w:rFonts w:hint="eastAsia" w:ascii="仿宋" w:hAnsi="仿宋" w:eastAsia="仿宋" w:cstheme="minorBidi"/>
                <w:szCs w:val="24"/>
                <w:lang w:val="en-US" w:eastAsia="zh-CN"/>
              </w:rPr>
            </w:pPr>
            <w:r>
              <w:rPr>
                <w:rFonts w:hint="eastAsia" w:ascii="仿宋" w:hAnsi="仿宋" w:eastAsia="仿宋" w:cstheme="minorBidi"/>
                <w:szCs w:val="24"/>
                <w:lang w:val="en-US" w:eastAsia="zh-CN"/>
              </w:rPr>
              <w:t>基本要求：</w:t>
            </w:r>
          </w:p>
          <w:p w14:paraId="01ACFD87">
            <w:pPr>
              <w:pStyle w:val="20"/>
              <w:numPr>
                <w:ilvl w:val="0"/>
                <w:numId w:val="0"/>
              </w:numPr>
              <w:spacing w:line="360" w:lineRule="auto"/>
              <w:rPr>
                <w:rFonts w:hint="eastAsia" w:ascii="仿宋" w:hAnsi="仿宋" w:eastAsia="仿宋" w:cstheme="minorBidi"/>
                <w:szCs w:val="24"/>
                <w:lang w:val="en-US" w:eastAsia="zh-CN"/>
              </w:rPr>
            </w:pPr>
            <w:r>
              <w:rPr>
                <w:rFonts w:hint="eastAsia" w:ascii="仿宋" w:hAnsi="仿宋" w:eastAsia="仿宋" w:cstheme="minorBidi"/>
                <w:szCs w:val="24"/>
                <w:lang w:val="en-US" w:eastAsia="zh-CN"/>
              </w:rPr>
              <w:t>1、电梯4层、无机房客梯、（具体现场勘察）</w:t>
            </w:r>
          </w:p>
          <w:p w14:paraId="152FF5FB">
            <w:pPr>
              <w:pStyle w:val="20"/>
              <w:numPr>
                <w:ilvl w:val="0"/>
                <w:numId w:val="0"/>
              </w:numPr>
              <w:spacing w:line="360" w:lineRule="auto"/>
              <w:rPr>
                <w:rFonts w:hint="default" w:ascii="仿宋" w:hAnsi="仿宋" w:eastAsia="仿宋" w:cstheme="minorBidi"/>
                <w:szCs w:val="24"/>
                <w:lang w:val="en-US" w:eastAsia="zh-CN"/>
              </w:rPr>
            </w:pPr>
            <w:r>
              <w:rPr>
                <w:rFonts w:hint="eastAsia" w:ascii="仿宋" w:hAnsi="仿宋" w:eastAsia="仿宋" w:cstheme="minorBidi"/>
                <w:szCs w:val="24"/>
                <w:lang w:val="en-US" w:eastAsia="zh-CN"/>
              </w:rPr>
              <w:t>2、5年维保期内，除常规维养</w:t>
            </w:r>
            <w:bookmarkStart w:id="0" w:name="_GoBack"/>
            <w:bookmarkEnd w:id="0"/>
            <w:r>
              <w:rPr>
                <w:rFonts w:hint="eastAsia" w:ascii="仿宋" w:hAnsi="仿宋" w:eastAsia="仿宋" w:cstheme="minorBidi"/>
                <w:szCs w:val="24"/>
                <w:lang w:val="en-US" w:eastAsia="zh-CN"/>
              </w:rPr>
              <w:t>外还包含定检自检、125载重实验。</w:t>
            </w:r>
          </w:p>
          <w:p w14:paraId="74543248">
            <w:pPr>
              <w:pStyle w:val="20"/>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20"/>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20"/>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1D4D8A48">
            <w:pPr>
              <w:pStyle w:val="20"/>
              <w:numPr>
                <w:ilvl w:val="0"/>
                <w:numId w:val="0"/>
              </w:numPr>
              <w:spacing w:line="360" w:lineRule="auto"/>
              <w:rPr>
                <w:rFonts w:hint="eastAsia" w:ascii="仿宋" w:hAnsi="仿宋" w:eastAsia="仿宋" w:cstheme="minorBidi"/>
                <w:color w:val="auto"/>
                <w:szCs w:val="24"/>
                <w:highlight w:val="none"/>
                <w:lang w:eastAsia="zh-CN"/>
              </w:rPr>
            </w:pPr>
            <w:r>
              <w:rPr>
                <w:rFonts w:hint="eastAsia" w:ascii="仿宋" w:hAnsi="仿宋" w:eastAsia="仿宋" w:cstheme="minorBidi"/>
                <w:color w:val="auto"/>
                <w:szCs w:val="24"/>
                <w:highlight w:val="none"/>
                <w:lang w:val="en-US" w:eastAsia="zh-CN"/>
              </w:rPr>
              <w:t>1.</w:t>
            </w:r>
            <w:r>
              <w:rPr>
                <w:rFonts w:hint="eastAsia" w:ascii="仿宋" w:hAnsi="仿宋" w:eastAsia="仿宋" w:cstheme="minorBidi"/>
                <w:color w:val="auto"/>
                <w:szCs w:val="24"/>
                <w:highlight w:val="none"/>
              </w:rPr>
              <w:t>必须符合国家有关规范和设计要求</w:t>
            </w:r>
            <w:r>
              <w:rPr>
                <w:rFonts w:hint="eastAsia" w:ascii="仿宋" w:hAnsi="仿宋" w:eastAsia="仿宋" w:cstheme="minorBidi"/>
                <w:color w:val="auto"/>
                <w:szCs w:val="24"/>
                <w:highlight w:val="none"/>
                <w:lang w:eastAsia="zh-CN"/>
              </w:rPr>
              <w:t>。</w:t>
            </w:r>
          </w:p>
          <w:p w14:paraId="4BA07A84">
            <w:pPr>
              <w:pStyle w:val="20"/>
              <w:numPr>
                <w:ilvl w:val="0"/>
                <w:numId w:val="0"/>
              </w:numPr>
              <w:spacing w:line="360" w:lineRule="auto"/>
              <w:rPr>
                <w:rFonts w:ascii="仿宋" w:hAnsi="仿宋" w:eastAsia="仿宋"/>
                <w:szCs w:val="24"/>
              </w:rPr>
            </w:pPr>
            <w:r>
              <w:rPr>
                <w:rFonts w:hint="eastAsia" w:ascii="仿宋" w:hAnsi="仿宋" w:eastAsia="仿宋" w:cstheme="minorBidi"/>
                <w:color w:val="auto"/>
                <w:szCs w:val="24"/>
                <w:highlight w:val="none"/>
                <w:lang w:val="en-US" w:eastAsia="zh-CN"/>
              </w:rPr>
              <w:t>2.符合GB/T 7588.1-2020《电梯制造与安装安全规范第1部分:乘客电梯和载货电梯》、GB/T 7588.2-2020《电梯制造与安装安全规范第2部分:电梯部件的设计原则计算和检验》和GB/T 10060-2023《电梯安装验收规范》等相关国家标准。</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20"/>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20"/>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07B11CA6">
            <w:pPr>
              <w:spacing w:line="276" w:lineRule="auto"/>
              <w:rPr>
                <w:rFonts w:ascii="仿宋_GB2312" w:eastAsia="仿宋_GB2312"/>
                <w:b/>
                <w:bCs/>
                <w:color w:val="auto"/>
                <w:sz w:val="24"/>
                <w:highlight w:val="none"/>
              </w:rPr>
            </w:pPr>
            <w:r>
              <w:rPr>
                <w:rFonts w:hint="eastAsia" w:ascii="仿宋_GB2312" w:eastAsia="仿宋_GB2312"/>
                <w:b/>
                <w:bCs/>
                <w:color w:val="auto"/>
                <w:sz w:val="24"/>
                <w:highlight w:val="none"/>
              </w:rPr>
              <w:t>基本资格条件：</w:t>
            </w:r>
          </w:p>
          <w:p w14:paraId="37E20AC0">
            <w:pPr>
              <w:spacing w:line="276" w:lineRule="auto"/>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推介</w:t>
            </w:r>
            <w:r>
              <w:rPr>
                <w:rFonts w:hint="eastAsia" w:ascii="仿宋_GB2312" w:eastAsia="仿宋_GB2312"/>
                <w:color w:val="auto"/>
                <w:sz w:val="24"/>
                <w:highlight w:val="none"/>
              </w:rPr>
              <w:t>单位具有独立承担民事责任的能力</w:t>
            </w:r>
          </w:p>
          <w:p w14:paraId="10766D07">
            <w:pPr>
              <w:spacing w:line="276" w:lineRule="auto"/>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388FE90B">
            <w:pPr>
              <w:spacing w:line="276" w:lineRule="auto"/>
              <w:rPr>
                <w:rFonts w:ascii="仿宋_GB2312" w:eastAsia="仿宋_GB2312"/>
                <w:color w:val="auto"/>
                <w:sz w:val="24"/>
                <w:highlight w:val="none"/>
              </w:rPr>
            </w:pPr>
            <w:r>
              <w:rPr>
                <w:rFonts w:hint="eastAsia" w:ascii="仿宋_GB2312" w:eastAsia="仿宋_GB2312"/>
                <w:color w:val="auto"/>
                <w:sz w:val="24"/>
                <w:highlight w:val="none"/>
              </w:rPr>
              <w:t>2.法定代表人身份证明【格式3，自然人无需提供】</w:t>
            </w:r>
          </w:p>
          <w:p w14:paraId="2DA87EFE">
            <w:pPr>
              <w:spacing w:line="276" w:lineRule="auto"/>
              <w:rPr>
                <w:rFonts w:hint="eastAsia" w:ascii="仿宋_GB2312" w:eastAsia="仿宋_GB2312"/>
                <w:color w:val="auto"/>
                <w:sz w:val="24"/>
                <w:highlight w:val="none"/>
              </w:rPr>
            </w:pPr>
            <w:r>
              <w:rPr>
                <w:rFonts w:hint="eastAsia" w:ascii="仿宋_GB2312" w:eastAsia="仿宋_GB2312"/>
                <w:color w:val="auto"/>
                <w:sz w:val="24"/>
                <w:highlight w:val="none"/>
              </w:rPr>
              <w:t>3.法定代表人授权委托书【格式4，自然人、法人本人到场的无需提供】</w:t>
            </w:r>
          </w:p>
          <w:p w14:paraId="12DD6FBC">
            <w:pPr>
              <w:pStyle w:val="20"/>
              <w:spacing w:line="360" w:lineRule="auto"/>
              <w:ind w:firstLine="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特定资格条件</w:t>
            </w:r>
            <w:r>
              <w:rPr>
                <w:rFonts w:hint="eastAsia" w:ascii="宋体" w:hAnsi="宋体" w:cs="宋体"/>
                <w:b/>
                <w:bCs/>
                <w:color w:val="auto"/>
                <w:sz w:val="24"/>
                <w:szCs w:val="24"/>
                <w:highlight w:val="none"/>
                <w:lang w:eastAsia="zh-CN"/>
              </w:rPr>
              <w:t>：</w:t>
            </w:r>
          </w:p>
          <w:p w14:paraId="2FE5DD64">
            <w:pPr>
              <w:pStyle w:val="20"/>
              <w:numPr>
                <w:ilvl w:val="0"/>
                <w:numId w:val="0"/>
              </w:numPr>
              <w:spacing w:line="360" w:lineRule="auto"/>
              <w:ind w:firstLine="0" w:firstLineChars="0"/>
              <w:rPr>
                <w:rFonts w:hint="eastAsia" w:ascii="仿宋_GB2312" w:eastAsia="仿宋_GB2312" w:hAnsiTheme="minorHAnsi" w:cstheme="minorBidi"/>
                <w:color w:val="auto"/>
                <w:kern w:val="2"/>
                <w:sz w:val="24"/>
                <w:szCs w:val="22"/>
                <w:highlight w:val="none"/>
                <w:lang w:val="en-US" w:eastAsia="zh-CN" w:bidi="ar-SA"/>
              </w:rPr>
            </w:pPr>
            <w:r>
              <w:rPr>
                <w:rFonts w:hint="eastAsia" w:ascii="宋体" w:hAnsi="宋体" w:eastAsia="仿宋_GB2312" w:cs="宋体"/>
                <w:color w:val="auto"/>
                <w:kern w:val="0"/>
                <w:sz w:val="24"/>
                <w:szCs w:val="24"/>
                <w:lang w:val="en-US" w:eastAsia="zh-CN" w:bidi="ar-SA"/>
              </w:rPr>
              <w:t>1.</w:t>
            </w:r>
            <w:r>
              <w:rPr>
                <w:rFonts w:hint="eastAsia" w:ascii="宋体" w:hAnsi="宋体" w:cs="宋体"/>
                <w:color w:val="auto"/>
                <w:sz w:val="24"/>
                <w:szCs w:val="24"/>
                <w:highlight w:val="none"/>
                <w:lang w:val="en-US" w:eastAsia="zh-CN"/>
              </w:rPr>
              <w:t>推介单位为制造商的：须具有有效期内《中华人民共和国特种设备生产许可证》[许可项目：电梯制造（含安装、修理、改造）]，或具有有效</w:t>
            </w:r>
            <w:r>
              <w:rPr>
                <w:rFonts w:hint="eastAsia" w:ascii="仿宋_GB2312" w:eastAsia="仿宋_GB2312" w:hAnsiTheme="minorHAnsi" w:cstheme="minorBidi"/>
                <w:color w:val="auto"/>
                <w:kern w:val="2"/>
                <w:sz w:val="24"/>
                <w:szCs w:val="22"/>
                <w:highlight w:val="none"/>
                <w:lang w:val="en-US" w:eastAsia="zh-CN" w:bidi="ar-SA"/>
              </w:rPr>
              <w:t>期内《中华人民共和国特种设备制造许可证》（电梯）（曳引与强制驱动电梯）</w:t>
            </w:r>
            <w:r>
              <w:rPr>
                <w:rFonts w:hint="default" w:ascii="仿宋_GB2312" w:eastAsia="仿宋_GB2312" w:hAnsiTheme="minorHAnsi" w:cstheme="minorBidi"/>
                <w:color w:val="auto"/>
                <w:kern w:val="2"/>
                <w:sz w:val="24"/>
                <w:szCs w:val="22"/>
                <w:highlight w:val="none"/>
                <w:lang w:val="en-US" w:eastAsia="zh-CN" w:bidi="ar-SA"/>
              </w:rPr>
              <w:t>B</w:t>
            </w:r>
            <w:r>
              <w:rPr>
                <w:rFonts w:hint="eastAsia" w:ascii="仿宋_GB2312" w:eastAsia="仿宋_GB2312" w:hAnsiTheme="minorHAnsi" w:cstheme="minorBidi"/>
                <w:color w:val="auto"/>
                <w:kern w:val="2"/>
                <w:sz w:val="24"/>
                <w:szCs w:val="22"/>
                <w:highlight w:val="none"/>
                <w:lang w:val="en-US" w:eastAsia="zh-CN" w:bidi="ar-SA"/>
              </w:rPr>
              <w:t>级及以上资质和《中华人民共和国特种设备安装改造维修（或修理）许可证》（电梯）[曳引与强制驱动电梯</w:t>
            </w:r>
            <w:r>
              <w:rPr>
                <w:rFonts w:hint="default" w:ascii="仿宋_GB2312" w:eastAsia="仿宋_GB2312" w:hAnsiTheme="minorHAnsi" w:cstheme="minorBidi"/>
                <w:color w:val="auto"/>
                <w:kern w:val="2"/>
                <w:sz w:val="24"/>
                <w:szCs w:val="22"/>
                <w:highlight w:val="none"/>
                <w:lang w:val="en-US" w:eastAsia="zh-CN" w:bidi="ar-SA"/>
              </w:rPr>
              <w:t>B</w:t>
            </w:r>
            <w:r>
              <w:rPr>
                <w:rFonts w:hint="eastAsia" w:ascii="仿宋_GB2312" w:eastAsia="仿宋_GB2312" w:hAnsiTheme="minorHAnsi" w:cstheme="minorBidi"/>
                <w:color w:val="auto"/>
                <w:kern w:val="2"/>
                <w:sz w:val="24"/>
                <w:szCs w:val="22"/>
                <w:highlight w:val="none"/>
                <w:lang w:val="en-US" w:eastAsia="zh-CN" w:bidi="ar-SA"/>
              </w:rPr>
              <w:t>级及以上资质]。</w:t>
            </w:r>
          </w:p>
          <w:p w14:paraId="11BB59A9">
            <w:pPr>
              <w:pStyle w:val="20"/>
              <w:numPr>
                <w:ilvl w:val="0"/>
                <w:numId w:val="0"/>
              </w:numPr>
              <w:spacing w:line="360" w:lineRule="auto"/>
              <w:rPr>
                <w:rFonts w:hint="eastAsia" w:ascii="宋体" w:hAnsi="宋体" w:eastAsia="宋体" w:cs="宋体"/>
                <w:color w:val="121212"/>
                <w:sz w:val="24"/>
                <w:szCs w:val="24"/>
                <w:highlight w:val="none"/>
                <w:lang w:val="en-US" w:eastAsia="zh-CN"/>
              </w:rPr>
            </w:pPr>
            <w:r>
              <w:rPr>
                <w:rFonts w:hint="eastAsia" w:ascii="仿宋_GB2312" w:eastAsia="仿宋_GB2312" w:hAnsiTheme="minorHAnsi" w:cstheme="minorBidi"/>
                <w:color w:val="auto"/>
                <w:kern w:val="2"/>
                <w:sz w:val="24"/>
                <w:szCs w:val="22"/>
                <w:highlight w:val="none"/>
                <w:lang w:val="en-US" w:eastAsia="zh-CN" w:bidi="ar-SA"/>
              </w:rPr>
              <w:t>2.推介单位为代理商（经销商）的：</w:t>
            </w:r>
            <w:r>
              <w:rPr>
                <w:rFonts w:hint="default" w:ascii="仿宋_GB2312" w:eastAsia="仿宋_GB2312" w:hAnsiTheme="minorHAnsi" w:cstheme="minorBidi"/>
                <w:color w:val="auto"/>
                <w:kern w:val="2"/>
                <w:sz w:val="24"/>
                <w:szCs w:val="22"/>
                <w:highlight w:val="none"/>
                <w:lang w:val="en-US" w:eastAsia="zh-CN" w:bidi="ar-SA"/>
              </w:rPr>
              <w:t>所</w:t>
            </w:r>
            <w:r>
              <w:rPr>
                <w:rFonts w:hint="eastAsia" w:ascii="仿宋_GB2312" w:eastAsia="仿宋_GB2312" w:hAnsiTheme="minorHAnsi" w:cstheme="minorBidi"/>
                <w:color w:val="auto"/>
                <w:kern w:val="2"/>
                <w:sz w:val="24"/>
                <w:szCs w:val="22"/>
                <w:highlight w:val="none"/>
                <w:lang w:val="en-US" w:eastAsia="zh-CN" w:bidi="ar-SA"/>
              </w:rPr>
              <w:t>推介</w:t>
            </w:r>
            <w:r>
              <w:rPr>
                <w:rFonts w:hint="default" w:ascii="仿宋_GB2312" w:eastAsia="仿宋_GB2312" w:hAnsiTheme="minorHAnsi" w:cstheme="minorBidi"/>
                <w:color w:val="auto"/>
                <w:kern w:val="2"/>
                <w:sz w:val="24"/>
                <w:szCs w:val="22"/>
                <w:highlight w:val="none"/>
                <w:lang w:val="en-US" w:eastAsia="zh-CN" w:bidi="ar-SA"/>
              </w:rPr>
              <w:t>产品制造商应具备以上要求</w:t>
            </w:r>
            <w:r>
              <w:rPr>
                <w:rFonts w:hint="eastAsia" w:ascii="仿宋_GB2312" w:eastAsia="仿宋_GB2312" w:hAnsiTheme="minorHAnsi" w:cstheme="minorBidi"/>
                <w:color w:val="auto"/>
                <w:kern w:val="2"/>
                <w:sz w:val="24"/>
                <w:szCs w:val="22"/>
                <w:highlight w:val="none"/>
                <w:lang w:val="en-US" w:eastAsia="zh-CN" w:bidi="ar-SA"/>
              </w:rPr>
              <w:t>1</w:t>
            </w:r>
            <w:r>
              <w:rPr>
                <w:rFonts w:hint="default" w:ascii="仿宋_GB2312" w:eastAsia="仿宋_GB2312" w:hAnsiTheme="minorHAnsi" w:cstheme="minorBidi"/>
                <w:color w:val="auto"/>
                <w:kern w:val="2"/>
                <w:sz w:val="24"/>
                <w:szCs w:val="22"/>
                <w:highlight w:val="none"/>
                <w:lang w:val="en-US" w:eastAsia="zh-CN" w:bidi="ar-SA"/>
              </w:rPr>
              <w:t>的前提下，</w:t>
            </w:r>
            <w:r>
              <w:rPr>
                <w:rFonts w:hint="eastAsia" w:ascii="仿宋_GB2312" w:eastAsia="仿宋_GB2312" w:hAnsiTheme="minorHAnsi" w:cstheme="minorBidi"/>
                <w:color w:val="auto"/>
                <w:kern w:val="2"/>
                <w:sz w:val="24"/>
                <w:szCs w:val="22"/>
                <w:highlight w:val="none"/>
                <w:lang w:val="en-US" w:eastAsia="zh-CN" w:bidi="ar-SA"/>
              </w:rPr>
              <w:t>推介单位</w:t>
            </w:r>
            <w:r>
              <w:rPr>
                <w:rFonts w:hint="default" w:ascii="仿宋_GB2312" w:eastAsia="仿宋_GB2312" w:hAnsiTheme="minorHAnsi" w:cstheme="minorBidi"/>
                <w:color w:val="auto"/>
                <w:kern w:val="2"/>
                <w:sz w:val="24"/>
                <w:szCs w:val="22"/>
                <w:highlight w:val="none"/>
                <w:lang w:val="en-US" w:eastAsia="zh-CN" w:bidi="ar-SA"/>
              </w:rPr>
              <w:t>还须具有有效期内《中华人民共和国特种设备生产许可证》[许可项目：电梯安装（含修理）</w:t>
            </w:r>
            <w:r>
              <w:rPr>
                <w:rFonts w:hint="eastAsia" w:ascii="仿宋_GB2312" w:eastAsia="仿宋_GB2312" w:hAnsiTheme="minorHAnsi" w:cstheme="minorBidi"/>
                <w:color w:val="auto"/>
                <w:kern w:val="2"/>
                <w:sz w:val="24"/>
                <w:szCs w:val="22"/>
                <w:highlight w:val="none"/>
                <w:lang w:val="en-US" w:eastAsia="zh-CN" w:bidi="ar-SA"/>
              </w:rPr>
              <w:t>；许可子项目：</w:t>
            </w:r>
            <w:r>
              <w:rPr>
                <w:rFonts w:hint="default" w:ascii="仿宋_GB2312" w:eastAsia="仿宋_GB2312" w:hAnsiTheme="minorHAnsi" w:cstheme="minorBidi"/>
                <w:color w:val="auto"/>
                <w:kern w:val="2"/>
                <w:sz w:val="24"/>
                <w:szCs w:val="22"/>
                <w:highlight w:val="none"/>
                <w:lang w:val="en-US" w:eastAsia="zh-CN" w:bidi="ar-SA"/>
              </w:rPr>
              <w:t>曳引驱动乘客电梯（含消防员电梯）额定速度≤6.0m/s]或《中华人民共和国特种设备安装改造维修（或修理）许可证》（电梯）[曳引与强制驱动电梯B级及以上资质]</w:t>
            </w:r>
            <w:r>
              <w:rPr>
                <w:rFonts w:hint="eastAsia" w:ascii="仿宋_GB2312" w:eastAsia="仿宋_GB2312" w:hAnsiTheme="minorHAnsi" w:cstheme="minorBidi"/>
                <w:color w:val="auto"/>
                <w:kern w:val="2"/>
                <w:sz w:val="24"/>
                <w:szCs w:val="22"/>
                <w:highlight w:val="none"/>
                <w:lang w:val="en-US" w:eastAsia="zh-CN" w:bidi="ar-SA"/>
              </w:rPr>
              <w:t>；须具有电梯制造商对本项目产品出具的合法授权。</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20"/>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20"/>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20"/>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时间：202</w:t>
            </w:r>
            <w:r>
              <w:rPr>
                <w:rFonts w:hint="eastAsia" w:ascii="仿宋" w:hAnsi="仿宋" w:eastAsia="仿宋" w:cstheme="minorBidi"/>
                <w:szCs w:val="24"/>
                <w:lang w:val="en-US" w:eastAsia="zh-CN"/>
              </w:rPr>
              <w:t>6</w:t>
            </w:r>
            <w:r>
              <w:rPr>
                <w:rFonts w:hint="eastAsia" w:ascii="仿宋" w:hAnsi="仿宋" w:eastAsia="仿宋" w:cstheme="minorBidi"/>
                <w:szCs w:val="24"/>
              </w:rPr>
              <w:t>年</w:t>
            </w:r>
            <w:r>
              <w:rPr>
                <w:rFonts w:hint="eastAsia" w:ascii="仿宋" w:hAnsi="仿宋" w:eastAsia="仿宋" w:cstheme="minorBidi"/>
                <w:szCs w:val="24"/>
                <w:lang w:val="en-US" w:eastAsia="zh-CN"/>
              </w:rPr>
              <w:t>5</w:t>
            </w:r>
            <w:r>
              <w:rPr>
                <w:rFonts w:hint="eastAsia" w:ascii="仿宋" w:hAnsi="仿宋" w:eastAsia="仿宋" w:cstheme="minorBidi"/>
                <w:szCs w:val="24"/>
              </w:rPr>
              <w:t>月</w:t>
            </w:r>
            <w:r>
              <w:rPr>
                <w:rFonts w:hint="eastAsia" w:ascii="仿宋" w:hAnsi="仿宋" w:eastAsia="仿宋" w:cstheme="minorBidi"/>
                <w:szCs w:val="24"/>
                <w:lang w:val="en-US" w:eastAsia="zh-CN"/>
              </w:rPr>
              <w:t>29</w:t>
            </w:r>
            <w:r>
              <w:rPr>
                <w:rFonts w:hint="eastAsia" w:ascii="仿宋" w:hAnsi="仿宋" w:eastAsia="仿宋" w:cstheme="minorBidi"/>
                <w:szCs w:val="24"/>
              </w:rPr>
              <w:t>日</w:t>
            </w:r>
            <w:r>
              <w:rPr>
                <w:rFonts w:hint="eastAsia" w:ascii="仿宋" w:hAnsi="仿宋" w:eastAsia="仿宋" w:cstheme="minorBidi"/>
                <w:szCs w:val="24"/>
                <w:lang w:val="en-US" w:eastAsia="zh-CN"/>
              </w:rPr>
              <w:t>上午10:00</w:t>
            </w:r>
          </w:p>
          <w:p w14:paraId="4A45669C">
            <w:pPr>
              <w:pStyle w:val="20"/>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20"/>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20"/>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18050422">
            <w:pPr>
              <w:pStyle w:val="20"/>
              <w:tabs>
                <w:tab w:val="left" w:pos="423"/>
                <w:tab w:val="clear" w:pos="900"/>
              </w:tabs>
              <w:spacing w:line="276" w:lineRule="auto"/>
              <w:ind w:left="0" w:leftChars="0" w:firstLine="0" w:firstLineChars="0"/>
              <w:rPr>
                <w:rFonts w:hint="default" w:ascii="仿宋" w:hAnsi="仿宋" w:eastAsia="仿宋"/>
                <w:kern w:val="0"/>
                <w:sz w:val="24"/>
                <w:szCs w:val="24"/>
                <w:lang w:val="en-US"/>
              </w:rPr>
            </w:pPr>
            <w:r>
              <w:rPr>
                <w:rFonts w:hint="eastAsia" w:ascii="仿宋_GB2312" w:hAnsi="Times New Roman" w:eastAsia="仿宋_GB2312" w:cs="Times New Roman"/>
                <w:color w:val="auto"/>
                <w:kern w:val="2"/>
                <w:sz w:val="24"/>
                <w:szCs w:val="24"/>
                <w:highlight w:val="none"/>
                <w:lang w:val="en-US" w:eastAsia="zh-CN" w:bidi="ar-SA"/>
              </w:rPr>
              <w:t>1.根据采购人提供的清单</w:t>
            </w:r>
            <w:r>
              <w:rPr>
                <w:rFonts w:hint="eastAsia" w:hAnsi="Times New Roman" w:cs="Times New Roman"/>
                <w:color w:val="auto"/>
                <w:kern w:val="2"/>
                <w:sz w:val="24"/>
                <w:szCs w:val="24"/>
                <w:highlight w:val="none"/>
                <w:lang w:val="en-US" w:eastAsia="zh-CN" w:bidi="ar-SA"/>
              </w:rPr>
              <w:t>规格、</w:t>
            </w:r>
            <w:r>
              <w:rPr>
                <w:rFonts w:hint="eastAsia" w:ascii="仿宋_GB2312" w:hAnsi="Times New Roman" w:eastAsia="仿宋_GB2312" w:cs="Times New Roman"/>
                <w:color w:val="auto"/>
                <w:kern w:val="2"/>
                <w:sz w:val="24"/>
                <w:szCs w:val="24"/>
                <w:highlight w:val="none"/>
                <w:lang w:val="en-US" w:eastAsia="zh-CN" w:bidi="ar-SA"/>
              </w:rPr>
              <w:t>数量进行报价，采用</w:t>
            </w:r>
            <w:r>
              <w:rPr>
                <w:rFonts w:hint="eastAsia" w:hAnsi="Times New Roman" w:cs="Times New Roman"/>
                <w:color w:val="auto"/>
                <w:kern w:val="2"/>
                <w:sz w:val="24"/>
                <w:szCs w:val="24"/>
                <w:highlight w:val="none"/>
                <w:lang w:val="en-US" w:eastAsia="zh-CN" w:bidi="ar-SA"/>
              </w:rPr>
              <w:t>包干价结算</w:t>
            </w:r>
            <w:r>
              <w:rPr>
                <w:rFonts w:hint="eastAsia" w:ascii="仿宋_GB2312" w:hAnsi="Times New Roman" w:eastAsia="仿宋_GB2312" w:cs="Times New Roman"/>
                <w:color w:val="auto"/>
                <w:kern w:val="2"/>
                <w:sz w:val="24"/>
                <w:szCs w:val="24"/>
                <w:highlight w:val="none"/>
                <w:lang w:val="en-US" w:eastAsia="zh-CN" w:bidi="ar-SA"/>
              </w:rPr>
              <w:t>。</w:t>
            </w:r>
            <w:r>
              <w:rPr>
                <w:rFonts w:hint="eastAsia" w:hAnsi="Times New Roman" w:cs="Times New Roman"/>
                <w:color w:val="auto"/>
                <w:kern w:val="2"/>
                <w:sz w:val="24"/>
                <w:szCs w:val="24"/>
                <w:highlight w:val="none"/>
                <w:lang w:val="en-US" w:eastAsia="zh-CN" w:bidi="ar-SA"/>
              </w:rPr>
              <w:t>推介单位必须对电梯设备价格和电梯安装价格进行分项报价。</w:t>
            </w:r>
          </w:p>
          <w:p w14:paraId="02CBEB0C">
            <w:pPr>
              <w:snapToGrid w:val="0"/>
              <w:spacing w:line="360" w:lineRule="auto"/>
              <w:rPr>
                <w:rFonts w:hint="eastAsia" w:ascii="仿宋" w:hAnsi="仿宋" w:eastAsia="仿宋"/>
                <w:kern w:val="0"/>
                <w:sz w:val="24"/>
                <w:szCs w:val="24"/>
                <w:highlight w:val="none"/>
              </w:rPr>
            </w:pPr>
            <w:r>
              <w:rPr>
                <w:rFonts w:hint="eastAsia" w:ascii="仿宋" w:hAnsi="仿宋" w:eastAsia="仿宋"/>
                <w:kern w:val="0"/>
                <w:sz w:val="24"/>
                <w:szCs w:val="24"/>
                <w:lang w:val="en-US" w:eastAsia="zh-CN"/>
              </w:rPr>
              <w:t>2.</w:t>
            </w:r>
            <w:r>
              <w:rPr>
                <w:rFonts w:hint="eastAsia" w:ascii="仿宋" w:hAnsi="仿宋" w:eastAsia="仿宋"/>
                <w:kern w:val="0"/>
                <w:sz w:val="24"/>
                <w:szCs w:val="24"/>
                <w:highlight w:val="none"/>
              </w:rPr>
              <w:t>包含但不限于以下内容：人工费、材料费、加工费、运输（含包装、运输、转运、装卸至医院指定地点）、</w:t>
            </w:r>
            <w:r>
              <w:rPr>
                <w:rFonts w:hint="eastAsia" w:ascii="仿宋" w:hAnsi="仿宋" w:eastAsia="仿宋"/>
                <w:kern w:val="0"/>
                <w:sz w:val="24"/>
                <w:szCs w:val="24"/>
                <w:highlight w:val="none"/>
                <w:lang w:val="en-US" w:eastAsia="zh-CN"/>
              </w:rPr>
              <w:t>5年期维保费用</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rPr>
              <w:t>管理费、利润、保险、各种规费税费、风险费、专用工具、调试等所有成本费用。</w:t>
            </w:r>
          </w:p>
          <w:p w14:paraId="402A2167">
            <w:pPr>
              <w:snapToGrid w:val="0"/>
              <w:spacing w:line="360" w:lineRule="auto"/>
              <w:rPr>
                <w:rFonts w:hint="eastAsia" w:ascii="仿宋_GB2312" w:hAnsi="Times New Roman" w:eastAsia="仿宋_GB2312" w:cs="Times New Roman"/>
                <w:color w:val="auto"/>
                <w:kern w:val="2"/>
                <w:sz w:val="24"/>
                <w:szCs w:val="24"/>
                <w:highlight w:val="none"/>
                <w:lang w:val="en-US" w:eastAsia="zh-CN" w:bidi="ar-SA"/>
              </w:rPr>
            </w:pPr>
            <w:r>
              <w:rPr>
                <w:rFonts w:hint="eastAsia" w:hAnsi="Times New Roman" w:cs="Times New Roman"/>
                <w:color w:val="auto"/>
                <w:kern w:val="2"/>
                <w:sz w:val="24"/>
                <w:szCs w:val="24"/>
                <w:highlight w:val="none"/>
                <w:lang w:val="en-US" w:eastAsia="zh-CN" w:bidi="ar-SA"/>
              </w:rPr>
              <w:t>3</w:t>
            </w:r>
            <w:r>
              <w:rPr>
                <w:rFonts w:hint="eastAsia" w:ascii="仿宋_GB2312" w:hAnsi="Times New Roman" w:eastAsia="仿宋_GB2312" w:cs="Times New Roman"/>
                <w:color w:val="auto"/>
                <w:kern w:val="2"/>
                <w:sz w:val="24"/>
                <w:szCs w:val="24"/>
                <w:highlight w:val="none"/>
                <w:lang w:val="en-US" w:eastAsia="zh-CN" w:bidi="ar-SA"/>
              </w:rPr>
              <w:t>.</w:t>
            </w:r>
            <w:r>
              <w:rPr>
                <w:rFonts w:hint="eastAsia" w:ascii="仿宋_GB2312" w:eastAsia="仿宋_GB2312" w:cs="Times New Roman"/>
                <w:color w:val="auto"/>
                <w:kern w:val="2"/>
                <w:sz w:val="24"/>
                <w:szCs w:val="24"/>
                <w:highlight w:val="none"/>
                <w:lang w:val="en-US" w:eastAsia="zh-CN" w:bidi="ar-SA"/>
              </w:rPr>
              <w:t>推介</w:t>
            </w:r>
            <w:r>
              <w:rPr>
                <w:rFonts w:hint="eastAsia" w:ascii="仿宋_GB2312" w:hAnsi="Times New Roman" w:eastAsia="仿宋_GB2312" w:cs="Times New Roman"/>
                <w:color w:val="auto"/>
                <w:kern w:val="2"/>
                <w:sz w:val="24"/>
                <w:szCs w:val="24"/>
                <w:highlight w:val="none"/>
                <w:lang w:val="en-US" w:eastAsia="zh-CN" w:bidi="ar-SA"/>
              </w:rPr>
              <w:t>单位应自行踏勘现场及周围环境，以便获取</w:t>
            </w:r>
            <w:r>
              <w:rPr>
                <w:rFonts w:hint="eastAsia" w:ascii="仿宋_GB2312" w:eastAsia="仿宋_GB2312" w:cs="Times New Roman"/>
                <w:color w:val="auto"/>
                <w:kern w:val="2"/>
                <w:sz w:val="24"/>
                <w:szCs w:val="24"/>
                <w:highlight w:val="none"/>
                <w:lang w:val="en-US" w:eastAsia="zh-CN" w:bidi="ar-SA"/>
              </w:rPr>
              <w:t>推介</w:t>
            </w:r>
            <w:r>
              <w:rPr>
                <w:rFonts w:hint="eastAsia" w:ascii="仿宋_GB2312" w:hAnsi="Times New Roman" w:eastAsia="仿宋_GB2312" w:cs="Times New Roman"/>
                <w:color w:val="auto"/>
                <w:kern w:val="2"/>
                <w:sz w:val="24"/>
                <w:szCs w:val="24"/>
                <w:highlight w:val="none"/>
                <w:lang w:val="en-US" w:eastAsia="zh-CN" w:bidi="ar-SA"/>
              </w:rPr>
              <w:t>单位须自己负责的有关编制</w:t>
            </w:r>
            <w:r>
              <w:rPr>
                <w:rFonts w:hint="eastAsia" w:ascii="仿宋_GB2312" w:eastAsia="仿宋_GB2312" w:cs="Times New Roman"/>
                <w:color w:val="auto"/>
                <w:kern w:val="2"/>
                <w:sz w:val="24"/>
                <w:szCs w:val="24"/>
                <w:highlight w:val="none"/>
                <w:lang w:val="en-US" w:eastAsia="zh-CN" w:bidi="ar-SA"/>
              </w:rPr>
              <w:t>推介</w:t>
            </w:r>
            <w:r>
              <w:rPr>
                <w:rFonts w:hint="eastAsia" w:ascii="仿宋_GB2312" w:hAnsi="Times New Roman" w:eastAsia="仿宋_GB2312" w:cs="Times New Roman"/>
                <w:color w:val="auto"/>
                <w:kern w:val="2"/>
                <w:sz w:val="24"/>
                <w:szCs w:val="24"/>
                <w:highlight w:val="none"/>
                <w:lang w:val="en-US" w:eastAsia="zh-CN" w:bidi="ar-SA"/>
              </w:rPr>
              <w:t>文件报价清单和签署合同所需的所有资料。</w:t>
            </w:r>
          </w:p>
          <w:p w14:paraId="71774182">
            <w:pPr>
              <w:pStyle w:val="2"/>
              <w:ind w:left="0" w:leftChars="0" w:firstLine="0" w:firstLineChars="0"/>
              <w:rPr>
                <w:rFonts w:hint="default"/>
                <w:lang w:val="en-US" w:eastAsia="zh-CN"/>
              </w:rPr>
            </w:pP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20"/>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20"/>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20"/>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重庆医科大学附属第二医院电梯加装</w:t>
            </w:r>
            <w:r>
              <w:rPr>
                <w:rFonts w:hint="eastAsia" w:ascii="仿宋" w:hAnsi="仿宋" w:eastAsia="仿宋"/>
                <w:kern w:val="0"/>
                <w:sz w:val="24"/>
                <w:szCs w:val="24"/>
              </w:rPr>
              <w:t>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5</w:t>
            </w:r>
            <w:r>
              <w:rPr>
                <w:rFonts w:hint="eastAsia" w:ascii="仿宋" w:hAnsi="仿宋" w:eastAsia="仿宋"/>
                <w:kern w:val="0"/>
                <w:sz w:val="24"/>
                <w:szCs w:val="24"/>
              </w:rPr>
              <w:t>月</w:t>
            </w:r>
            <w:r>
              <w:rPr>
                <w:rFonts w:hint="eastAsia" w:ascii="仿宋" w:hAnsi="仿宋" w:eastAsia="仿宋"/>
                <w:kern w:val="0"/>
                <w:sz w:val="24"/>
                <w:szCs w:val="24"/>
                <w:lang w:val="en-US" w:eastAsia="zh-CN"/>
              </w:rPr>
              <w:t>28</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20"/>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20"/>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20"/>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20"/>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20"/>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20"/>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20"/>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20"/>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20"/>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20"/>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20"/>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20"/>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20"/>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56F8B886">
            <w:pPr>
              <w:pStyle w:val="20"/>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20"/>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20"/>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20"/>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20"/>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20"/>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20"/>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20"/>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20"/>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20"/>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20"/>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20"/>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20"/>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20"/>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20"/>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573A405A">
            <w:pPr>
              <w:pStyle w:val="20"/>
              <w:numPr>
                <w:ilvl w:val="0"/>
                <w:numId w:val="0"/>
              </w:numPr>
              <w:spacing w:line="276" w:lineRule="auto"/>
              <w:jc w:val="left"/>
              <w:rPr>
                <w:rFonts w:ascii="仿宋" w:hAnsi="仿宋" w:eastAsia="仿宋" w:cstheme="minorBidi"/>
                <w:szCs w:val="24"/>
              </w:rPr>
            </w:pPr>
            <w:r>
              <w:rPr>
                <w:rFonts w:hint="eastAsia" w:ascii="仿宋" w:hAnsi="仿宋" w:eastAsia="仿宋" w:cstheme="minorBidi"/>
                <w:szCs w:val="24"/>
              </w:rPr>
              <w:t>联系地址：南岸区天文大道288号重医附二院江南院区全科楼后勤处办公室（607室）</w:t>
            </w:r>
          </w:p>
          <w:p w14:paraId="0F0514E0">
            <w:pPr>
              <w:pStyle w:val="20"/>
              <w:spacing w:line="360" w:lineRule="auto"/>
              <w:ind w:left="5520" w:hanging="5520" w:hangingChars="2300"/>
              <w:rPr>
                <w:rFonts w:hint="default" w:ascii="仿宋" w:hAnsi="仿宋" w:eastAsia="仿宋" w:cstheme="minorBidi"/>
                <w:szCs w:val="24"/>
                <w:lang w:val="en-US" w:eastAsia="zh-CN"/>
              </w:rPr>
            </w:pPr>
            <w:r>
              <w:rPr>
                <w:rFonts w:hint="eastAsia" w:ascii="仿宋" w:hAnsi="仿宋" w:eastAsia="仿宋" w:cstheme="minorBidi"/>
                <w:szCs w:val="24"/>
                <w:lang w:val="en-US" w:eastAsia="zh-CN"/>
              </w:rPr>
              <w:t>现场勘察</w:t>
            </w:r>
            <w:r>
              <w:rPr>
                <w:rFonts w:hint="eastAsia" w:ascii="仿宋" w:hAnsi="仿宋" w:eastAsia="仿宋" w:cstheme="minorBidi"/>
                <w:szCs w:val="24"/>
              </w:rPr>
              <w:t>联系人：</w:t>
            </w:r>
            <w:r>
              <w:rPr>
                <w:rFonts w:hint="eastAsia"/>
                <w:color w:val="auto"/>
                <w:szCs w:val="24"/>
                <w:highlight w:val="none"/>
                <w:lang w:val="en-US" w:eastAsia="zh-CN"/>
              </w:rPr>
              <w:t xml:space="preserve">张老师 </w:t>
            </w:r>
            <w:r>
              <w:rPr>
                <w:rFonts w:hint="eastAsia" w:ascii="仿宋" w:hAnsi="仿宋" w:eastAsia="仿宋" w:cstheme="minorBidi"/>
                <w:szCs w:val="24"/>
              </w:rPr>
              <w:t xml:space="preserve">     联系电话：023-6</w:t>
            </w:r>
            <w:r>
              <w:rPr>
                <w:rFonts w:hint="eastAsia" w:ascii="仿宋" w:hAnsi="仿宋" w:eastAsia="仿宋" w:cstheme="minorBidi"/>
                <w:szCs w:val="24"/>
                <w:lang w:val="en-US" w:eastAsia="zh-CN"/>
              </w:rPr>
              <w:t>2888246 15023109051</w:t>
            </w:r>
          </w:p>
        </w:tc>
      </w:tr>
    </w:tbl>
    <w:p w14:paraId="3B018631">
      <w:pPr>
        <w:spacing w:line="360" w:lineRule="auto"/>
        <w:rPr>
          <w:rFonts w:ascii="仿宋" w:hAnsi="仿宋" w:eastAsia="仿宋"/>
          <w:sz w:val="24"/>
          <w:szCs w:val="24"/>
        </w:rPr>
      </w:pPr>
    </w:p>
    <w:p w14:paraId="17F04863">
      <w:pPr>
        <w:pStyle w:val="4"/>
      </w:pPr>
    </w:p>
    <w:p w14:paraId="5B20160D">
      <w:pPr>
        <w:pStyle w:val="4"/>
      </w:pPr>
    </w:p>
    <w:p w14:paraId="3173EB97">
      <w:pPr>
        <w:pStyle w:val="4"/>
      </w:pPr>
    </w:p>
    <w:p w14:paraId="6E46FE6B">
      <w:pPr>
        <w:pStyle w:val="4"/>
      </w:pPr>
    </w:p>
    <w:p w14:paraId="49F32833">
      <w:pPr>
        <w:pStyle w:val="4"/>
      </w:pPr>
    </w:p>
    <w:p w14:paraId="47E27F8E">
      <w:pPr>
        <w:pStyle w:val="4"/>
      </w:pPr>
    </w:p>
    <w:p w14:paraId="337375CE">
      <w:pPr>
        <w:pStyle w:val="4"/>
      </w:pPr>
    </w:p>
    <w:p w14:paraId="5C081CC3">
      <w:pPr>
        <w:pStyle w:val="4"/>
      </w:pPr>
    </w:p>
    <w:p w14:paraId="21E96CB6">
      <w:pPr>
        <w:pStyle w:val="4"/>
      </w:pPr>
    </w:p>
    <w:p w14:paraId="50E6B2E9">
      <w:pPr>
        <w:pStyle w:val="4"/>
      </w:pPr>
    </w:p>
    <w:p w14:paraId="71AA0AEC">
      <w:pPr>
        <w:pStyle w:val="4"/>
      </w:pPr>
    </w:p>
    <w:p w14:paraId="21DB10C0">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5"/>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5"/>
        <w:shd w:val="clear" w:color="FFFFFF" w:fill="FFFFFF"/>
        <w:spacing w:line="360" w:lineRule="auto"/>
        <w:jc w:val="both"/>
        <w:rPr>
          <w:sz w:val="28"/>
          <w:szCs w:val="28"/>
        </w:rPr>
      </w:pPr>
    </w:p>
    <w:p w14:paraId="66DCF22B">
      <w:pPr>
        <w:pStyle w:val="7"/>
        <w:spacing w:after="0" w:line="360" w:lineRule="auto"/>
        <w:ind w:left="430" w:leftChars="205" w:firstLine="140" w:firstLineChars="50"/>
        <w:rPr>
          <w:sz w:val="28"/>
          <w:szCs w:val="28"/>
        </w:rPr>
      </w:pPr>
      <w:r>
        <w:rPr>
          <w:rFonts w:hint="eastAsia"/>
          <w:sz w:val="28"/>
          <w:szCs w:val="28"/>
        </w:rPr>
        <w:t>特此授权。</w:t>
      </w:r>
    </w:p>
    <w:p w14:paraId="03CBFC58">
      <w:pPr>
        <w:pStyle w:val="4"/>
        <w:spacing w:after="0"/>
        <w:rPr>
          <w:rFonts w:ascii="宋体" w:hAnsi="宋体"/>
          <w:szCs w:val="28"/>
        </w:rPr>
      </w:pPr>
    </w:p>
    <w:p w14:paraId="75E2A5A9">
      <w:pPr>
        <w:pStyle w:val="4"/>
        <w:spacing w:after="0"/>
        <w:ind w:left="135"/>
        <w:rPr>
          <w:rFonts w:ascii="宋体" w:hAnsi="宋体"/>
          <w:szCs w:val="28"/>
        </w:rPr>
      </w:pPr>
    </w:p>
    <w:p w14:paraId="3B208189">
      <w:pPr>
        <w:pStyle w:val="4"/>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4"/>
        <w:spacing w:after="0"/>
        <w:ind w:left="135"/>
        <w:rPr>
          <w:rFonts w:ascii="宋体" w:hAnsi="宋体"/>
          <w:kern w:val="0"/>
          <w:sz w:val="28"/>
          <w:szCs w:val="28"/>
        </w:rPr>
      </w:pPr>
    </w:p>
    <w:p w14:paraId="76884E6D">
      <w:pPr>
        <w:pStyle w:val="4"/>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4"/>
        <w:spacing w:after="0"/>
        <w:rPr>
          <w:rFonts w:ascii="宋体" w:hAnsi="宋体"/>
          <w:kern w:val="0"/>
          <w:sz w:val="28"/>
          <w:szCs w:val="28"/>
        </w:rPr>
      </w:pPr>
    </w:p>
    <w:p w14:paraId="3A56067F">
      <w:pPr>
        <w:pStyle w:val="4"/>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22"/>
        <w:spacing w:before="156" w:after="156" w:line="360" w:lineRule="auto"/>
        <w:rPr>
          <w:sz w:val="44"/>
          <w:szCs w:val="44"/>
        </w:rPr>
      </w:pPr>
      <w:r>
        <w:rPr>
          <w:rFonts w:hint="eastAsia"/>
          <w:sz w:val="44"/>
          <w:szCs w:val="44"/>
        </w:rPr>
        <w:t>报价书（格式）</w:t>
      </w:r>
    </w:p>
    <w:p w14:paraId="1A4B06D8">
      <w:pPr>
        <w:pStyle w:val="20"/>
        <w:spacing w:line="360" w:lineRule="auto"/>
        <w:ind w:firstLine="539"/>
        <w:rPr>
          <w:sz w:val="28"/>
          <w:szCs w:val="28"/>
        </w:rPr>
      </w:pPr>
    </w:p>
    <w:p w14:paraId="72ACAEA5">
      <w:pPr>
        <w:pStyle w:val="20"/>
        <w:spacing w:line="360" w:lineRule="auto"/>
        <w:ind w:firstLine="539"/>
        <w:rPr>
          <w:sz w:val="28"/>
          <w:szCs w:val="28"/>
        </w:rPr>
      </w:pPr>
      <w:r>
        <w:rPr>
          <w:rFonts w:hint="eastAsia"/>
          <w:sz w:val="28"/>
          <w:szCs w:val="28"/>
        </w:rPr>
        <w:t>致：重庆医科大学附属第二医院</w:t>
      </w:r>
    </w:p>
    <w:p w14:paraId="2F663CA6">
      <w:pPr>
        <w:pStyle w:val="2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312B79F5">
      <w:pPr>
        <w:pStyle w:val="20"/>
        <w:tabs>
          <w:tab w:val="left" w:pos="0"/>
          <w:tab w:val="clear" w:pos="900"/>
          <w:tab w:val="clear" w:pos="1620"/>
        </w:tabs>
        <w:spacing w:line="360" w:lineRule="auto"/>
        <w:ind w:firstLine="0"/>
        <w:jc w:val="left"/>
        <w:rPr>
          <w:rFonts w:hint="eastAsia"/>
          <w:sz w:val="28"/>
          <w:szCs w:val="28"/>
          <w:lang w:val="en-US" w:eastAsia="zh-CN"/>
        </w:rPr>
      </w:pPr>
      <w:r>
        <w:rPr>
          <w:rFonts w:hint="eastAsia"/>
          <w:sz w:val="28"/>
          <w:szCs w:val="28"/>
          <w:lang w:val="en-US" w:eastAsia="zh-CN"/>
        </w:rPr>
        <w:t>重医附二院空气压缩机采购及安装</w:t>
      </w:r>
      <w:r>
        <w:rPr>
          <w:rFonts w:hint="eastAsia"/>
          <w:sz w:val="28"/>
          <w:szCs w:val="28"/>
        </w:rPr>
        <w:t>阳光推介总报价为：</w:t>
      </w:r>
      <w:r>
        <w:rPr>
          <w:rFonts w:hint="eastAsia"/>
          <w:sz w:val="28"/>
          <w:szCs w:val="28"/>
          <w:u w:val="single"/>
          <w:lang w:val="en-US" w:eastAsia="zh-CN"/>
        </w:rPr>
        <w:t xml:space="preserve">           </w:t>
      </w:r>
      <w:r>
        <w:rPr>
          <w:rFonts w:hint="eastAsia"/>
          <w:sz w:val="28"/>
          <w:szCs w:val="28"/>
          <w:lang w:val="en-US" w:eastAsia="zh-CN"/>
        </w:rPr>
        <w:t xml:space="preserve">元； </w:t>
      </w:r>
    </w:p>
    <w:p w14:paraId="291F28CE">
      <w:pPr>
        <w:pStyle w:val="20"/>
        <w:tabs>
          <w:tab w:val="left" w:pos="0"/>
          <w:tab w:val="clear" w:pos="900"/>
          <w:tab w:val="clear" w:pos="1620"/>
        </w:tabs>
        <w:spacing w:line="360" w:lineRule="auto"/>
        <w:ind w:firstLine="0"/>
        <w:jc w:val="left"/>
        <w:rPr>
          <w:sz w:val="28"/>
          <w:szCs w:val="28"/>
        </w:rPr>
      </w:pPr>
      <w:r>
        <w:rPr>
          <w:rFonts w:hint="eastAsia"/>
          <w:sz w:val="28"/>
          <w:szCs w:val="28"/>
          <w:lang w:val="en-US" w:eastAsia="zh-CN"/>
        </w:rPr>
        <w:t>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20"/>
        <w:spacing w:line="360" w:lineRule="auto"/>
        <w:ind w:firstLine="0"/>
        <w:rPr>
          <w:sz w:val="28"/>
          <w:szCs w:val="28"/>
        </w:rPr>
      </w:pPr>
    </w:p>
    <w:p w14:paraId="574F8D2F">
      <w:pPr>
        <w:pStyle w:val="20"/>
        <w:spacing w:line="360" w:lineRule="auto"/>
        <w:ind w:firstLine="0"/>
        <w:rPr>
          <w:sz w:val="28"/>
          <w:szCs w:val="28"/>
        </w:rPr>
      </w:pPr>
    </w:p>
    <w:p w14:paraId="74B6F6ED">
      <w:pPr>
        <w:pStyle w:val="20"/>
        <w:spacing w:line="360" w:lineRule="auto"/>
        <w:ind w:firstLine="0"/>
        <w:rPr>
          <w:sz w:val="30"/>
          <w:szCs w:val="30"/>
        </w:rPr>
      </w:pPr>
    </w:p>
    <w:p w14:paraId="6F322453">
      <w:pPr>
        <w:pStyle w:val="20"/>
        <w:spacing w:line="360" w:lineRule="auto"/>
        <w:rPr>
          <w:sz w:val="30"/>
          <w:szCs w:val="30"/>
        </w:rPr>
      </w:pPr>
      <w:r>
        <w:rPr>
          <w:rFonts w:hint="eastAsia"/>
          <w:sz w:val="30"/>
          <w:szCs w:val="30"/>
        </w:rPr>
        <w:t>推介单位（盖章）：</w:t>
      </w:r>
    </w:p>
    <w:p w14:paraId="4CEEA50D">
      <w:pPr>
        <w:pStyle w:val="20"/>
        <w:spacing w:line="360" w:lineRule="auto"/>
        <w:rPr>
          <w:sz w:val="30"/>
          <w:szCs w:val="30"/>
        </w:rPr>
      </w:pPr>
      <w:r>
        <w:rPr>
          <w:rFonts w:hint="eastAsia"/>
          <w:sz w:val="30"/>
          <w:szCs w:val="30"/>
        </w:rPr>
        <w:t>法定代表人或法人授权代表（签字）：</w:t>
      </w:r>
    </w:p>
    <w:p w14:paraId="3488FBB3">
      <w:pPr>
        <w:pStyle w:val="20"/>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1D2272-B200-4D9B-BB27-BC82BF495364}"/>
  </w:font>
  <w:font w:name="黑体">
    <w:panose1 w:val="02010609060101010101"/>
    <w:charset w:val="86"/>
    <w:family w:val="auto"/>
    <w:pitch w:val="default"/>
    <w:sig w:usb0="800002BF" w:usb1="38CF7CFA" w:usb2="00000016" w:usb3="00000000" w:csb0="00040001" w:csb1="00000000"/>
    <w:embedRegular r:id="rId2" w:fontKey="{E5BD496B-17AA-4C19-A749-0104B1F8C9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DAFAF3E-5AB4-44A6-8E59-6174EF24A645}"/>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1FAEAFAD-D499-4F10-9163-E17A9E9A8DE0}"/>
  </w:font>
  <w:font w:name="仿宋">
    <w:panose1 w:val="02010609060101010101"/>
    <w:charset w:val="86"/>
    <w:family w:val="modern"/>
    <w:pitch w:val="default"/>
    <w:sig w:usb0="800002BF" w:usb1="38CF7CFA" w:usb2="00000016" w:usb3="00000000" w:csb0="00040001" w:csb1="00000000"/>
    <w:embedRegular r:id="rId5" w:fontKey="{9CA70122-41E7-4EAC-BCBD-000818979924}"/>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0A6865BA-5FF0-4B15-A4C0-E80D04E0E227}"/>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299670F"/>
    <w:rsid w:val="071D433A"/>
    <w:rsid w:val="0AA2484F"/>
    <w:rsid w:val="0EF252A9"/>
    <w:rsid w:val="0F4672D5"/>
    <w:rsid w:val="10BF469B"/>
    <w:rsid w:val="1207562B"/>
    <w:rsid w:val="12610316"/>
    <w:rsid w:val="16545689"/>
    <w:rsid w:val="1C912F6B"/>
    <w:rsid w:val="1DF33BF6"/>
    <w:rsid w:val="20CB0584"/>
    <w:rsid w:val="215035C4"/>
    <w:rsid w:val="21C70C3C"/>
    <w:rsid w:val="22FF7A6F"/>
    <w:rsid w:val="23B655E1"/>
    <w:rsid w:val="24BB1BBC"/>
    <w:rsid w:val="283B4790"/>
    <w:rsid w:val="32824657"/>
    <w:rsid w:val="3715740A"/>
    <w:rsid w:val="37B20507"/>
    <w:rsid w:val="3CD2779C"/>
    <w:rsid w:val="3D3E2627"/>
    <w:rsid w:val="3D8E3E71"/>
    <w:rsid w:val="3DA13CF5"/>
    <w:rsid w:val="3E962B96"/>
    <w:rsid w:val="3FA25F9A"/>
    <w:rsid w:val="40861D0A"/>
    <w:rsid w:val="430F0CAE"/>
    <w:rsid w:val="47F60B91"/>
    <w:rsid w:val="483416BA"/>
    <w:rsid w:val="5044219C"/>
    <w:rsid w:val="517F4A4F"/>
    <w:rsid w:val="55B404CB"/>
    <w:rsid w:val="59966B3B"/>
    <w:rsid w:val="599B067E"/>
    <w:rsid w:val="5D81605A"/>
    <w:rsid w:val="60591866"/>
    <w:rsid w:val="67BA05A8"/>
    <w:rsid w:val="6BDA422D"/>
    <w:rsid w:val="6CC40BF5"/>
    <w:rsid w:val="6E233A60"/>
    <w:rsid w:val="74233BE4"/>
    <w:rsid w:val="749518AF"/>
    <w:rsid w:val="78FB7F67"/>
    <w:rsid w:val="7B4C1066"/>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4">
    <w:name w:val="Body Text"/>
    <w:basedOn w:val="1"/>
    <w:qFormat/>
    <w:uiPriority w:val="0"/>
    <w:pPr>
      <w:spacing w:after="120"/>
    </w:pPr>
  </w:style>
  <w:style w:type="paragraph" w:styleId="5">
    <w:name w:val="Plain Text"/>
    <w:basedOn w:val="1"/>
    <w:link w:val="25"/>
    <w:qFormat/>
    <w:uiPriority w:val="0"/>
    <w:pPr>
      <w:shd w:val="solid" w:color="FFFFFF" w:fill="FFFFFF"/>
      <w:jc w:val="center"/>
    </w:pPr>
    <w:rPr>
      <w:rFonts w:ascii="宋体" w:hAnsi="宋体" w:eastAsia="宋体" w:cs="Times New Roman"/>
      <w:kern w:val="0"/>
      <w:sz w:val="84"/>
      <w:szCs w:val="72"/>
    </w:rPr>
  </w:style>
  <w:style w:type="paragraph" w:styleId="6">
    <w:name w:val="Date"/>
    <w:basedOn w:val="1"/>
    <w:next w:val="1"/>
    <w:link w:val="19"/>
    <w:qFormat/>
    <w:uiPriority w:val="0"/>
    <w:rPr>
      <w:rFonts w:ascii="Times New Roman" w:hAnsi="Times New Roman" w:eastAsia="宋体" w:cs="Times New Roman"/>
      <w:sz w:val="24"/>
      <w:szCs w:val="20"/>
    </w:rPr>
  </w:style>
  <w:style w:type="paragraph" w:styleId="7">
    <w:name w:val="Body Text Indent 2"/>
    <w:basedOn w:val="1"/>
    <w:semiHidden/>
    <w:unhideWhenUsed/>
    <w:qFormat/>
    <w:uiPriority w:val="99"/>
    <w:pPr>
      <w:spacing w:after="120" w:line="480" w:lineRule="auto"/>
      <w:ind w:left="420" w:leftChars="200"/>
    </w:pPr>
  </w:style>
  <w:style w:type="paragraph" w:styleId="8">
    <w:name w:val="Balloon Text"/>
    <w:basedOn w:val="1"/>
    <w:link w:val="24"/>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left"/>
      <w:outlineLvl w:val="1"/>
    </w:pPr>
    <w:rPr>
      <w:rFonts w:ascii="Cambria" w:hAnsi="Cambria"/>
      <w:b/>
      <w:bCs/>
      <w:kern w:val="28"/>
      <w:sz w:val="32"/>
      <w:szCs w:val="32"/>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日期 Char"/>
    <w:basedOn w:val="15"/>
    <w:link w:val="6"/>
    <w:qFormat/>
    <w:uiPriority w:val="0"/>
    <w:rPr>
      <w:rFonts w:ascii="Times New Roman" w:hAnsi="Times New Roman" w:eastAsia="宋体" w:cs="Times New Roman"/>
      <w:sz w:val="24"/>
      <w:szCs w:val="20"/>
    </w:rPr>
  </w:style>
  <w:style w:type="paragraph" w:customStyle="1" w:styleId="20">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21">
    <w:name w:val="List Paragraph"/>
    <w:basedOn w:val="1"/>
    <w:qFormat/>
    <w:uiPriority w:val="0"/>
    <w:pPr>
      <w:ind w:firstLine="420" w:firstLineChars="200"/>
    </w:pPr>
    <w:rPr>
      <w:rFonts w:ascii="Times New Roman" w:hAnsi="Times New Roman" w:eastAsia="宋体" w:cs="Times New Roman"/>
      <w:szCs w:val="24"/>
    </w:rPr>
  </w:style>
  <w:style w:type="paragraph" w:customStyle="1" w:styleId="22">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3">
    <w:name w:val="NormalCharacter"/>
    <w:semiHidden/>
    <w:qFormat/>
    <w:uiPriority w:val="0"/>
  </w:style>
  <w:style w:type="character" w:customStyle="1" w:styleId="24">
    <w:name w:val="批注框文本 Char"/>
    <w:basedOn w:val="15"/>
    <w:link w:val="8"/>
    <w:semiHidden/>
    <w:qFormat/>
    <w:uiPriority w:val="99"/>
    <w:rPr>
      <w:sz w:val="18"/>
      <w:szCs w:val="18"/>
    </w:rPr>
  </w:style>
  <w:style w:type="character" w:customStyle="1" w:styleId="25">
    <w:name w:val="纯文本 Char"/>
    <w:basedOn w:val="15"/>
    <w:link w:val="5"/>
    <w:qFormat/>
    <w:uiPriority w:val="0"/>
    <w:rPr>
      <w:rFonts w:ascii="宋体" w:hAnsi="宋体" w:eastAsia="宋体" w:cs="Times New Roman"/>
      <w:kern w:val="0"/>
      <w:sz w:val="84"/>
      <w:szCs w:val="72"/>
      <w:shd w:val="solid" w:color="FFFFFF" w:fill="FFFFFF"/>
    </w:rPr>
  </w:style>
  <w:style w:type="character" w:customStyle="1" w:styleId="26">
    <w:name w:val="font21"/>
    <w:basedOn w:val="15"/>
    <w:qFormat/>
    <w:uiPriority w:val="0"/>
    <w:rPr>
      <w:rFonts w:hint="eastAsia" w:ascii="楷体" w:hAnsi="楷体" w:eastAsia="楷体" w:cs="楷体"/>
      <w:color w:val="000000"/>
      <w:sz w:val="12"/>
      <w:szCs w:val="12"/>
      <w:u w:val="none"/>
    </w:rPr>
  </w:style>
  <w:style w:type="character" w:customStyle="1" w:styleId="27">
    <w:name w:val="font31"/>
    <w:basedOn w:val="15"/>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7</Pages>
  <Words>2204</Words>
  <Characters>2365</Characters>
  <Lines>15</Lines>
  <Paragraphs>4</Paragraphs>
  <TotalTime>22</TotalTime>
  <ScaleCrop>false</ScaleCrop>
  <LinksUpToDate>false</LinksUpToDate>
  <CharactersWithSpaces>2605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Yimo</cp:lastModifiedBy>
  <dcterms:modified xsi:type="dcterms:W3CDTF">2026-05-21T06:59:53Z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4438BE8C056B4DD087233BE64F014758_13</vt:lpwstr>
  </property>
  <property fmtid="{D5CDD505-2E9C-101B-9397-08002B2CF9AE}" pid="4" name="KSOTemplateDocerSaveRecord">
    <vt:lpwstr>eyJoZGlkIjoiZTI4MWUzMzJjMmU0N2UwYWNjNjZjNTg1NWQyMmRiOWEiLCJ1c2VySWQiOiI0MzI5Njg2ODIifQ==</vt:lpwstr>
  </property>
</Properties>
</file>