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868"/>
      <w:bookmarkStart w:id="2" w:name="_Toc1304"/>
      <w:bookmarkStart w:id="3" w:name="_Toc10059"/>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76373864"/>
      <w:bookmarkStart w:id="9" w:name="_Toc5909"/>
      <w:bookmarkStart w:id="10" w:name="_Toc28264"/>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630B5D4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项目名称：实体瘤大panel基因检测</w:t>
      </w:r>
      <w:r>
        <w:rPr>
          <w:rFonts w:hint="eastAsia" w:ascii="宋体" w:hAnsi="宋体" w:cs="宋体"/>
          <w:color w:val="auto"/>
          <w:sz w:val="24"/>
          <w:szCs w:val="24"/>
          <w:lang w:eastAsia="zh-CN"/>
        </w:rPr>
        <w:t>、</w:t>
      </w:r>
      <w:r>
        <w:rPr>
          <w:rFonts w:hint="eastAsia" w:ascii="宋体" w:hAnsi="宋体" w:cs="宋体"/>
          <w:color w:val="auto"/>
          <w:sz w:val="24"/>
          <w:szCs w:val="24"/>
        </w:rPr>
        <w:t>实体瘤中panel基因检测</w:t>
      </w:r>
      <w:r>
        <w:rPr>
          <w:rFonts w:hint="eastAsia" w:ascii="宋体" w:hAnsi="宋体" w:cs="宋体"/>
          <w:color w:val="auto"/>
          <w:sz w:val="24"/>
          <w:szCs w:val="24"/>
          <w:lang w:eastAsia="zh-CN"/>
        </w:rPr>
        <w:t>、</w:t>
      </w:r>
      <w:r>
        <w:rPr>
          <w:rFonts w:hint="eastAsia" w:ascii="宋体" w:hAnsi="宋体" w:cs="宋体"/>
          <w:color w:val="auto"/>
          <w:sz w:val="24"/>
          <w:szCs w:val="24"/>
        </w:rPr>
        <w:t>实体瘤小panel基因检测</w:t>
      </w:r>
      <w:r>
        <w:rPr>
          <w:rFonts w:hint="eastAsia" w:ascii="宋体" w:hAnsi="宋体" w:cs="宋体"/>
          <w:color w:val="auto"/>
          <w:sz w:val="24"/>
          <w:szCs w:val="24"/>
          <w:lang w:eastAsia="zh-CN"/>
        </w:rPr>
        <w:t>、</w:t>
      </w:r>
      <w:r>
        <w:rPr>
          <w:rFonts w:hint="eastAsia" w:ascii="宋体" w:hAnsi="宋体" w:cs="宋体"/>
          <w:color w:val="auto"/>
          <w:sz w:val="24"/>
          <w:szCs w:val="24"/>
        </w:rPr>
        <w:t>子宫内膜癌分子分型检测</w:t>
      </w:r>
      <w:r>
        <w:rPr>
          <w:rFonts w:hint="eastAsia" w:ascii="宋体" w:hAnsi="宋体" w:cs="宋体"/>
          <w:color w:val="auto"/>
          <w:sz w:val="24"/>
          <w:szCs w:val="24"/>
          <w:lang w:eastAsia="zh-CN"/>
        </w:rPr>
        <w:t>、</w:t>
      </w:r>
      <w:r>
        <w:rPr>
          <w:rFonts w:hint="eastAsia" w:ascii="宋体" w:hAnsi="宋体" w:cs="宋体"/>
          <w:color w:val="auto"/>
          <w:sz w:val="24"/>
          <w:szCs w:val="24"/>
        </w:rPr>
        <w:t>脑胶质瘤个体化诊疗基因检测</w:t>
      </w:r>
      <w:r>
        <w:rPr>
          <w:rFonts w:hint="eastAsia" w:ascii="宋体" w:hAnsi="宋体" w:cs="宋体"/>
          <w:color w:val="auto"/>
          <w:sz w:val="24"/>
          <w:szCs w:val="24"/>
          <w:lang w:eastAsia="zh-CN"/>
        </w:rPr>
        <w:t>、</w:t>
      </w:r>
      <w:r>
        <w:rPr>
          <w:rFonts w:hint="eastAsia" w:ascii="宋体" w:hAnsi="宋体" w:cs="宋体"/>
          <w:color w:val="auto"/>
          <w:sz w:val="24"/>
          <w:szCs w:val="24"/>
        </w:rPr>
        <w:t>BRCA1/2基因检测</w:t>
      </w:r>
      <w:r>
        <w:rPr>
          <w:rFonts w:hint="eastAsia" w:ascii="宋体" w:hAnsi="宋体" w:cs="宋体"/>
          <w:color w:val="auto"/>
          <w:sz w:val="24"/>
          <w:szCs w:val="24"/>
          <w:lang w:eastAsia="zh-CN"/>
        </w:rPr>
        <w:t>、</w:t>
      </w:r>
      <w:r>
        <w:rPr>
          <w:rFonts w:hint="eastAsia" w:ascii="宋体" w:hAnsi="宋体" w:cs="宋体"/>
          <w:color w:val="auto"/>
          <w:sz w:val="24"/>
          <w:szCs w:val="24"/>
        </w:rPr>
        <w:t>HRD评分</w:t>
      </w:r>
      <w:r>
        <w:rPr>
          <w:rFonts w:hint="eastAsia" w:ascii="宋体" w:hAnsi="宋体" w:cs="宋体"/>
          <w:color w:val="auto"/>
          <w:sz w:val="24"/>
          <w:szCs w:val="24"/>
          <w:lang w:eastAsia="zh-CN"/>
        </w:rPr>
        <w:t>、</w:t>
      </w:r>
      <w:r>
        <w:rPr>
          <w:rFonts w:hint="eastAsia" w:ascii="宋体" w:hAnsi="宋体" w:cs="宋体"/>
          <w:color w:val="auto"/>
          <w:sz w:val="24"/>
          <w:szCs w:val="24"/>
        </w:rPr>
        <w:t>乳腺癌复发风险评估检测</w:t>
      </w:r>
      <w:r>
        <w:rPr>
          <w:rFonts w:hint="eastAsia" w:ascii="宋体" w:hAnsi="宋体" w:cs="宋体"/>
          <w:color w:val="auto"/>
          <w:sz w:val="24"/>
          <w:szCs w:val="24"/>
          <w:lang w:eastAsia="zh-CN"/>
        </w:rPr>
        <w:t>、</w:t>
      </w:r>
      <w:r>
        <w:rPr>
          <w:rFonts w:hint="eastAsia" w:ascii="宋体" w:hAnsi="宋体" w:cs="宋体"/>
          <w:color w:val="auto"/>
          <w:sz w:val="24"/>
          <w:szCs w:val="24"/>
        </w:rPr>
        <w:t>MRD检测</w:t>
      </w:r>
      <w:r>
        <w:rPr>
          <w:rFonts w:hint="eastAsia" w:ascii="宋体" w:hAnsi="宋体" w:cs="宋体"/>
          <w:color w:val="auto"/>
          <w:sz w:val="24"/>
          <w:szCs w:val="24"/>
          <w:lang w:eastAsia="zh-CN"/>
        </w:rPr>
        <w:t>、</w:t>
      </w:r>
      <w:r>
        <w:rPr>
          <w:rFonts w:hint="eastAsia" w:ascii="宋体" w:hAnsi="宋体" w:cs="宋体"/>
          <w:color w:val="auto"/>
          <w:sz w:val="24"/>
          <w:szCs w:val="24"/>
        </w:rPr>
        <w:t>乳腺癌靶向用药基因检测</w:t>
      </w:r>
      <w:r>
        <w:rPr>
          <w:rFonts w:hint="eastAsia" w:ascii="宋体" w:hAnsi="宋体" w:cs="宋体"/>
          <w:color w:val="auto"/>
          <w:sz w:val="24"/>
          <w:szCs w:val="24"/>
          <w:lang w:eastAsia="zh-CN"/>
        </w:rPr>
        <w:t>、</w:t>
      </w:r>
      <w:r>
        <w:rPr>
          <w:rFonts w:hint="eastAsia" w:ascii="宋体" w:hAnsi="宋体" w:cs="宋体"/>
          <w:color w:val="auto"/>
          <w:sz w:val="24"/>
          <w:szCs w:val="24"/>
        </w:rPr>
        <w:t>遗传性肿瘤基因筛查</w:t>
      </w:r>
      <w:r>
        <w:rPr>
          <w:rFonts w:hint="eastAsia" w:ascii="宋体" w:hAnsi="宋体" w:cs="宋体"/>
          <w:color w:val="auto"/>
          <w:sz w:val="24"/>
          <w:szCs w:val="24"/>
          <w:lang w:eastAsia="zh-CN"/>
        </w:rPr>
        <w:t>、</w:t>
      </w:r>
      <w:r>
        <w:rPr>
          <w:rFonts w:hint="eastAsia" w:ascii="宋体" w:hAnsi="宋体" w:cs="宋体"/>
          <w:color w:val="auto"/>
          <w:sz w:val="24"/>
          <w:szCs w:val="24"/>
        </w:rPr>
        <w:t>人EGFR基因突变检测试剂盒</w:t>
      </w:r>
      <w:r>
        <w:rPr>
          <w:rFonts w:hint="eastAsia" w:ascii="宋体" w:hAnsi="宋体" w:cs="宋体"/>
          <w:color w:val="auto"/>
          <w:sz w:val="24"/>
          <w:szCs w:val="24"/>
          <w:lang w:eastAsia="zh-CN"/>
        </w:rPr>
        <w:t>、</w:t>
      </w:r>
      <w:r>
        <w:rPr>
          <w:rFonts w:hint="eastAsia" w:ascii="宋体" w:hAnsi="宋体" w:cs="宋体"/>
          <w:color w:val="auto"/>
          <w:sz w:val="24"/>
          <w:szCs w:val="24"/>
        </w:rPr>
        <w:t>生殖道tNGS检测</w:t>
      </w:r>
      <w:r>
        <w:rPr>
          <w:rFonts w:hint="eastAsia" w:ascii="宋体" w:hAnsi="宋体" w:cs="宋体"/>
          <w:color w:val="auto"/>
          <w:sz w:val="24"/>
          <w:szCs w:val="24"/>
          <w:lang w:eastAsia="zh-CN"/>
        </w:rPr>
        <w:t>、</w:t>
      </w:r>
      <w:r>
        <w:rPr>
          <w:rFonts w:hint="eastAsia" w:ascii="宋体" w:hAnsi="宋体" w:cs="宋体"/>
          <w:color w:val="auto"/>
          <w:sz w:val="24"/>
          <w:szCs w:val="24"/>
        </w:rPr>
        <w:t>tNGS检测</w:t>
      </w:r>
      <w:r>
        <w:rPr>
          <w:rFonts w:hint="eastAsia" w:ascii="宋体" w:hAnsi="宋体" w:cs="宋体"/>
          <w:color w:val="auto"/>
          <w:sz w:val="24"/>
          <w:szCs w:val="24"/>
          <w:lang w:eastAsia="zh-CN"/>
        </w:rPr>
        <w:t>、</w:t>
      </w:r>
      <w:r>
        <w:rPr>
          <w:rFonts w:hint="eastAsia" w:ascii="宋体" w:hAnsi="宋体" w:cs="宋体"/>
          <w:color w:val="auto"/>
          <w:sz w:val="24"/>
          <w:szCs w:val="24"/>
        </w:rPr>
        <w:t>mNGS(DNA/RNA)检测</w:t>
      </w:r>
      <w:r>
        <w:rPr>
          <w:rFonts w:hint="eastAsia" w:ascii="宋体" w:hAnsi="宋体" w:cs="宋体"/>
          <w:color w:val="auto"/>
          <w:sz w:val="24"/>
          <w:szCs w:val="24"/>
          <w:lang w:eastAsia="zh-CN"/>
        </w:rPr>
        <w:t>、</w:t>
      </w:r>
      <w:r>
        <w:rPr>
          <w:rFonts w:hint="eastAsia" w:ascii="宋体" w:hAnsi="宋体" w:cs="宋体"/>
          <w:color w:val="auto"/>
          <w:sz w:val="24"/>
          <w:szCs w:val="24"/>
        </w:rPr>
        <w:t>肠道菌群检测</w:t>
      </w:r>
      <w:r>
        <w:rPr>
          <w:rFonts w:hint="eastAsia" w:ascii="宋体" w:hAnsi="宋体" w:cs="宋体"/>
          <w:color w:val="auto"/>
          <w:sz w:val="24"/>
          <w:szCs w:val="24"/>
          <w:lang w:eastAsia="zh-CN"/>
        </w:rPr>
        <w:t>、</w:t>
      </w:r>
      <w:r>
        <w:rPr>
          <w:rFonts w:hint="eastAsia" w:ascii="宋体" w:hAnsi="宋体" w:cs="宋体"/>
          <w:color w:val="auto"/>
          <w:sz w:val="24"/>
          <w:szCs w:val="24"/>
        </w:rPr>
        <w:t>FMT</w:t>
      </w:r>
      <w:r>
        <w:rPr>
          <w:rFonts w:hint="eastAsia" w:ascii="宋体" w:hAnsi="宋体" w:cs="宋体"/>
          <w:color w:val="auto"/>
          <w:sz w:val="24"/>
          <w:szCs w:val="24"/>
          <w:lang w:eastAsia="zh-CN"/>
        </w:rPr>
        <w:t>、</w:t>
      </w:r>
      <w:r>
        <w:rPr>
          <w:rFonts w:hint="eastAsia" w:ascii="宋体" w:hAnsi="宋体" w:cs="宋体"/>
          <w:color w:val="auto"/>
          <w:sz w:val="24"/>
          <w:szCs w:val="24"/>
        </w:rPr>
        <w:t>菌群代谢物检测</w:t>
      </w:r>
      <w:r>
        <w:rPr>
          <w:rFonts w:hint="eastAsia" w:ascii="宋体" w:hAnsi="宋体" w:cs="宋体"/>
          <w:color w:val="auto"/>
          <w:sz w:val="24"/>
          <w:szCs w:val="24"/>
          <w:lang w:eastAsia="zh-CN"/>
        </w:rPr>
        <w:t>、</w:t>
      </w:r>
      <w:r>
        <w:rPr>
          <w:rFonts w:hint="eastAsia" w:ascii="宋体" w:hAnsi="宋体" w:cs="宋体"/>
          <w:color w:val="auto"/>
          <w:sz w:val="24"/>
          <w:szCs w:val="24"/>
        </w:rPr>
        <w:t>肺癌甲基化检测(肿瘤早检 )</w:t>
      </w:r>
      <w:r>
        <w:rPr>
          <w:rFonts w:hint="eastAsia" w:ascii="宋体" w:hAnsi="宋体" w:cs="宋体"/>
          <w:color w:val="auto"/>
          <w:sz w:val="24"/>
          <w:szCs w:val="24"/>
          <w:lang w:eastAsia="zh-CN"/>
        </w:rPr>
        <w:t>、</w:t>
      </w:r>
      <w:r>
        <w:rPr>
          <w:rFonts w:hint="eastAsia" w:ascii="宋体" w:hAnsi="宋体" w:cs="宋体"/>
          <w:color w:val="auto"/>
          <w:sz w:val="24"/>
          <w:szCs w:val="24"/>
        </w:rPr>
        <w:t>结直肠癌甲基化检测(肿瘤早检)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食管癌甲基化检测(肿瘤早检)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胃癌甲基化检测(肿瘤早检 )</w:t>
      </w:r>
      <w:r>
        <w:rPr>
          <w:rFonts w:hint="eastAsia" w:ascii="宋体" w:hAnsi="宋体" w:cs="宋体"/>
          <w:color w:val="auto"/>
          <w:sz w:val="24"/>
          <w:szCs w:val="24"/>
          <w:lang w:eastAsia="zh-CN"/>
        </w:rPr>
        <w:t>、</w:t>
      </w:r>
      <w:r>
        <w:rPr>
          <w:rFonts w:hint="eastAsia" w:ascii="宋体" w:hAnsi="宋体" w:cs="宋体"/>
          <w:color w:val="auto"/>
          <w:sz w:val="24"/>
          <w:szCs w:val="24"/>
        </w:rPr>
        <w:t>肝癌甲基化检测(肿瘤早检 )</w:t>
      </w:r>
      <w:r>
        <w:rPr>
          <w:rFonts w:hint="eastAsia" w:ascii="宋体" w:hAnsi="宋体" w:cs="宋体"/>
          <w:color w:val="auto"/>
          <w:sz w:val="24"/>
          <w:szCs w:val="24"/>
          <w:lang w:eastAsia="zh-CN"/>
        </w:rPr>
        <w:t>、</w:t>
      </w:r>
      <w:r>
        <w:rPr>
          <w:rFonts w:hint="eastAsia" w:ascii="宋体" w:hAnsi="宋体" w:cs="宋体"/>
          <w:color w:val="auto"/>
          <w:sz w:val="24"/>
          <w:szCs w:val="24"/>
        </w:rPr>
        <w:t>尿路上皮癌基因检测(肿瘤早检)</w:t>
      </w:r>
      <w:r>
        <w:rPr>
          <w:rFonts w:hint="eastAsia" w:ascii="宋体" w:hAnsi="宋体" w:cs="宋体"/>
          <w:color w:val="auto"/>
          <w:sz w:val="24"/>
          <w:szCs w:val="24"/>
          <w:lang w:eastAsia="zh-CN"/>
        </w:rPr>
        <w:t>、</w:t>
      </w:r>
      <w:r>
        <w:rPr>
          <w:rFonts w:hint="eastAsia" w:ascii="宋体" w:hAnsi="宋体" w:cs="宋体"/>
          <w:color w:val="auto"/>
          <w:sz w:val="24"/>
          <w:szCs w:val="24"/>
        </w:rPr>
        <w:t>宫颈癌甲基化检测(肿瘤早检)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子宫内膜癌甲基化检测(肿瘤早检)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卵巢癌甲基化检测(肿瘤早检)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人类MGMT基因甲基化检测试剂盒(荧光PCR法)</w:t>
      </w:r>
      <w:r>
        <w:rPr>
          <w:rFonts w:hint="eastAsia" w:ascii="宋体" w:hAnsi="宋体" w:cs="宋体"/>
          <w:color w:val="auto"/>
          <w:sz w:val="24"/>
          <w:szCs w:val="24"/>
          <w:lang w:eastAsia="zh-CN"/>
        </w:rPr>
        <w:t>、</w:t>
      </w:r>
      <w:r>
        <w:rPr>
          <w:rFonts w:hint="eastAsia" w:ascii="宋体" w:hAnsi="宋体" w:cs="宋体"/>
          <w:color w:val="auto"/>
          <w:sz w:val="24"/>
          <w:szCs w:val="24"/>
        </w:rPr>
        <w:t>ctDNA甲基化检测+影像学AI分析联合诊断肺结节良恶性</w:t>
      </w:r>
      <w:r>
        <w:rPr>
          <w:rFonts w:hint="eastAsia" w:ascii="宋体" w:hAnsi="宋体" w:cs="宋体"/>
          <w:color w:val="auto"/>
          <w:sz w:val="24"/>
          <w:szCs w:val="24"/>
          <w:lang w:eastAsia="zh-CN"/>
        </w:rPr>
        <w:t>、</w:t>
      </w:r>
      <w:r>
        <w:rPr>
          <w:rFonts w:hint="eastAsia" w:ascii="宋体" w:hAnsi="宋体" w:cs="宋体"/>
          <w:color w:val="auto"/>
          <w:sz w:val="24"/>
          <w:szCs w:val="24"/>
        </w:rPr>
        <w:t>消化系统五癌基因甲基化检测(肿瘤早检)</w:t>
      </w:r>
      <w:r>
        <w:rPr>
          <w:rFonts w:hint="eastAsia" w:ascii="宋体" w:hAnsi="宋体" w:cs="宋体"/>
          <w:color w:val="auto"/>
          <w:sz w:val="24"/>
          <w:szCs w:val="24"/>
          <w:lang w:eastAsia="zh-CN"/>
        </w:rPr>
        <w:t>、</w:t>
      </w:r>
      <w:r>
        <w:rPr>
          <w:rFonts w:hint="eastAsia" w:ascii="宋体" w:hAnsi="宋体" w:cs="宋体"/>
          <w:color w:val="auto"/>
          <w:sz w:val="24"/>
          <w:szCs w:val="24"/>
        </w:rPr>
        <w:t>质谱流式试剂</w:t>
      </w:r>
      <w:r>
        <w:rPr>
          <w:rFonts w:hint="eastAsia" w:ascii="宋体" w:hAnsi="宋体" w:cs="宋体"/>
          <w:color w:val="auto"/>
          <w:sz w:val="24"/>
          <w:szCs w:val="24"/>
          <w:lang w:eastAsia="zh-CN"/>
        </w:rPr>
        <w:t>、</w:t>
      </w:r>
      <w:r>
        <w:rPr>
          <w:rFonts w:hint="eastAsia" w:ascii="宋体" w:hAnsi="宋体" w:cs="宋体"/>
          <w:color w:val="auto"/>
          <w:sz w:val="24"/>
          <w:szCs w:val="24"/>
        </w:rPr>
        <w:t>萎缩性胃炎2项</w:t>
      </w:r>
    </w:p>
    <w:p w14:paraId="7580EE44">
      <w:pPr>
        <w:widowControl/>
        <w:spacing w:line="40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14"/>
        <w:gridCol w:w="3836"/>
        <w:gridCol w:w="1185"/>
        <w:gridCol w:w="2015"/>
        <w:gridCol w:w="1083"/>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5"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22707"/>
            <w:bookmarkStart w:id="17" w:name="_Toc5838"/>
            <w:bookmarkStart w:id="18" w:name="_Toc76373865"/>
            <w:r>
              <w:rPr>
                <w:rFonts w:hint="eastAsia" w:ascii="宋体" w:hAnsi="宋体" w:eastAsia="宋体" w:cs="宋体"/>
                <w:color w:val="auto"/>
                <w:kern w:val="2"/>
                <w:szCs w:val="24"/>
                <w:lang w:val="en-US" w:eastAsia="zh-CN"/>
              </w:rPr>
              <w:t>包号</w:t>
            </w:r>
          </w:p>
        </w:tc>
        <w:tc>
          <w:tcPr>
            <w:tcW w:w="714" w:type="dxa"/>
            <w:noWrap w:val="0"/>
            <w:vAlign w:val="top"/>
          </w:tcPr>
          <w:p w14:paraId="1BE662FE">
            <w:pPr>
              <w:pStyle w:val="52"/>
              <w:spacing w:before="120" w:beforeLines="50" w:beforeAutospacing="0" w:after="0" w:afterAutospacing="0" w:line="400" w:lineRule="exact"/>
              <w:jc w:val="both"/>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序号</w:t>
            </w:r>
          </w:p>
        </w:tc>
        <w:tc>
          <w:tcPr>
            <w:tcW w:w="3836"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1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2015"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083"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restart"/>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714" w:type="dxa"/>
            <w:shd w:val="clear" w:color="auto" w:fill="auto"/>
            <w:noWrap w:val="0"/>
            <w:vAlign w:val="center"/>
          </w:tcPr>
          <w:p w14:paraId="4FFC3B3A">
            <w:pPr>
              <w:pStyle w:val="210"/>
              <w:spacing w:before="68" w:line="241"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836" w:type="dxa"/>
            <w:shd w:val="clear" w:color="auto" w:fill="auto"/>
            <w:noWrap w:val="0"/>
            <w:vAlign w:val="center"/>
          </w:tcPr>
          <w:p w14:paraId="441C9B44">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实体瘤大panel基因检测</w:t>
            </w:r>
          </w:p>
        </w:tc>
        <w:tc>
          <w:tcPr>
            <w:tcW w:w="1185" w:type="dxa"/>
            <w:vMerge w:val="restart"/>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2015" w:type="dxa"/>
            <w:vMerge w:val="restart"/>
            <w:noWrap w:val="0"/>
            <w:vAlign w:val="center"/>
          </w:tcPr>
          <w:p w14:paraId="7BC9AA71">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083"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精准医学中心</w:t>
            </w:r>
          </w:p>
        </w:tc>
      </w:tr>
      <w:tr w14:paraId="2FA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BC97230">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0EF0B25">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3836" w:type="dxa"/>
            <w:shd w:val="clear" w:color="auto" w:fill="auto"/>
            <w:noWrap w:val="0"/>
            <w:vAlign w:val="center"/>
          </w:tcPr>
          <w:p w14:paraId="72961C0B">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实体瘤中panel基因检测</w:t>
            </w:r>
          </w:p>
        </w:tc>
        <w:tc>
          <w:tcPr>
            <w:tcW w:w="1185" w:type="dxa"/>
            <w:vMerge w:val="continue"/>
            <w:shd w:val="clear" w:color="auto" w:fill="auto"/>
            <w:noWrap w:val="0"/>
            <w:vAlign w:val="center"/>
          </w:tcPr>
          <w:p w14:paraId="55D5CE4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03F10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49475E85">
            <w:pPr>
              <w:keepNext w:val="0"/>
              <w:keepLines w:val="0"/>
              <w:widowControl/>
              <w:suppressLineNumbers w:val="0"/>
              <w:jc w:val="center"/>
              <w:textAlignment w:val="center"/>
              <w:rPr>
                <w:rFonts w:hint="eastAsia" w:ascii="宋体" w:hAnsi="宋体" w:cs="宋体"/>
                <w:color w:val="auto"/>
                <w:sz w:val="24"/>
                <w:szCs w:val="24"/>
              </w:rPr>
            </w:pPr>
          </w:p>
        </w:tc>
      </w:tr>
      <w:tr w14:paraId="170C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28A2E4B6">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2E4B8092">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3836" w:type="dxa"/>
            <w:shd w:val="clear" w:color="auto" w:fill="auto"/>
            <w:noWrap w:val="0"/>
            <w:vAlign w:val="center"/>
          </w:tcPr>
          <w:p w14:paraId="7E05600C">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实体瘤小panel基因检测</w:t>
            </w:r>
          </w:p>
        </w:tc>
        <w:tc>
          <w:tcPr>
            <w:tcW w:w="1185" w:type="dxa"/>
            <w:vMerge w:val="continue"/>
            <w:shd w:val="clear" w:color="auto" w:fill="auto"/>
            <w:noWrap w:val="0"/>
            <w:vAlign w:val="center"/>
          </w:tcPr>
          <w:p w14:paraId="493F00A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FC8953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6AD290C">
            <w:pPr>
              <w:keepNext w:val="0"/>
              <w:keepLines w:val="0"/>
              <w:widowControl/>
              <w:suppressLineNumbers w:val="0"/>
              <w:jc w:val="center"/>
              <w:textAlignment w:val="center"/>
              <w:rPr>
                <w:rFonts w:hint="eastAsia" w:ascii="宋体" w:hAnsi="宋体" w:cs="宋体"/>
                <w:color w:val="auto"/>
                <w:sz w:val="24"/>
                <w:szCs w:val="24"/>
              </w:rPr>
            </w:pPr>
          </w:p>
        </w:tc>
      </w:tr>
      <w:tr w14:paraId="792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01518F0F">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5DD84F7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3836" w:type="dxa"/>
            <w:shd w:val="clear" w:color="auto" w:fill="auto"/>
            <w:noWrap w:val="0"/>
            <w:vAlign w:val="center"/>
          </w:tcPr>
          <w:p w14:paraId="5AAFD2BD">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子宫内膜癌分子分型检测</w:t>
            </w:r>
          </w:p>
        </w:tc>
        <w:tc>
          <w:tcPr>
            <w:tcW w:w="1185" w:type="dxa"/>
            <w:vMerge w:val="continue"/>
            <w:shd w:val="clear" w:color="auto" w:fill="auto"/>
            <w:noWrap w:val="0"/>
            <w:vAlign w:val="center"/>
          </w:tcPr>
          <w:p w14:paraId="54E69C0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2D978E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4D427DF5">
            <w:pPr>
              <w:keepNext w:val="0"/>
              <w:keepLines w:val="0"/>
              <w:widowControl/>
              <w:suppressLineNumbers w:val="0"/>
              <w:jc w:val="center"/>
              <w:textAlignment w:val="center"/>
              <w:rPr>
                <w:rFonts w:hint="eastAsia" w:ascii="宋体" w:hAnsi="宋体" w:cs="宋体"/>
                <w:color w:val="auto"/>
                <w:sz w:val="24"/>
                <w:szCs w:val="24"/>
              </w:rPr>
            </w:pPr>
          </w:p>
        </w:tc>
      </w:tr>
      <w:tr w14:paraId="0EF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EF2CB23">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6E126692">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3836" w:type="dxa"/>
            <w:shd w:val="clear" w:color="auto" w:fill="auto"/>
            <w:noWrap w:val="0"/>
            <w:vAlign w:val="center"/>
          </w:tcPr>
          <w:p w14:paraId="3EF53314">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脑胶质瘤个体化诊疗基因 检测</w:t>
            </w:r>
          </w:p>
        </w:tc>
        <w:tc>
          <w:tcPr>
            <w:tcW w:w="1185" w:type="dxa"/>
            <w:vMerge w:val="continue"/>
            <w:shd w:val="clear" w:color="auto" w:fill="auto"/>
            <w:noWrap w:val="0"/>
            <w:vAlign w:val="center"/>
          </w:tcPr>
          <w:p w14:paraId="3ECB9DC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535349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0A4F651">
            <w:pPr>
              <w:keepNext w:val="0"/>
              <w:keepLines w:val="0"/>
              <w:widowControl/>
              <w:suppressLineNumbers w:val="0"/>
              <w:jc w:val="center"/>
              <w:textAlignment w:val="center"/>
              <w:rPr>
                <w:rFonts w:hint="eastAsia" w:ascii="宋体" w:hAnsi="宋体" w:cs="宋体"/>
                <w:color w:val="auto"/>
                <w:sz w:val="24"/>
                <w:szCs w:val="24"/>
              </w:rPr>
            </w:pPr>
          </w:p>
        </w:tc>
      </w:tr>
      <w:tr w14:paraId="23ED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1B59A447">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CAD01F8">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3836" w:type="dxa"/>
            <w:shd w:val="clear" w:color="auto" w:fill="auto"/>
            <w:noWrap w:val="0"/>
            <w:vAlign w:val="center"/>
          </w:tcPr>
          <w:p w14:paraId="357AEED9">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BRCA1/2基因检测</w:t>
            </w:r>
          </w:p>
        </w:tc>
        <w:tc>
          <w:tcPr>
            <w:tcW w:w="1185" w:type="dxa"/>
            <w:vMerge w:val="continue"/>
            <w:shd w:val="clear" w:color="auto" w:fill="auto"/>
            <w:noWrap w:val="0"/>
            <w:vAlign w:val="center"/>
          </w:tcPr>
          <w:p w14:paraId="27E38D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184DC39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04C51562">
            <w:pPr>
              <w:keepNext w:val="0"/>
              <w:keepLines w:val="0"/>
              <w:widowControl/>
              <w:suppressLineNumbers w:val="0"/>
              <w:jc w:val="center"/>
              <w:textAlignment w:val="center"/>
              <w:rPr>
                <w:rFonts w:hint="eastAsia" w:ascii="宋体" w:hAnsi="宋体" w:cs="宋体"/>
                <w:color w:val="auto"/>
                <w:sz w:val="24"/>
                <w:szCs w:val="24"/>
              </w:rPr>
            </w:pPr>
          </w:p>
        </w:tc>
      </w:tr>
      <w:tr w14:paraId="6CCD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1B683027">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1FCCE00">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3836" w:type="dxa"/>
            <w:shd w:val="clear" w:color="auto" w:fill="auto"/>
            <w:noWrap w:val="0"/>
            <w:vAlign w:val="center"/>
          </w:tcPr>
          <w:p w14:paraId="52CA8B17">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HRD评分</w:t>
            </w:r>
          </w:p>
        </w:tc>
        <w:tc>
          <w:tcPr>
            <w:tcW w:w="1185" w:type="dxa"/>
            <w:vMerge w:val="continue"/>
            <w:shd w:val="clear" w:color="auto" w:fill="auto"/>
            <w:noWrap w:val="0"/>
            <w:vAlign w:val="center"/>
          </w:tcPr>
          <w:p w14:paraId="70F6E9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A2590B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16F34F76">
            <w:pPr>
              <w:keepNext w:val="0"/>
              <w:keepLines w:val="0"/>
              <w:widowControl/>
              <w:suppressLineNumbers w:val="0"/>
              <w:jc w:val="center"/>
              <w:textAlignment w:val="center"/>
              <w:rPr>
                <w:rFonts w:hint="eastAsia" w:ascii="宋体" w:hAnsi="宋体" w:cs="宋体"/>
                <w:color w:val="auto"/>
                <w:sz w:val="24"/>
                <w:szCs w:val="24"/>
              </w:rPr>
            </w:pPr>
          </w:p>
        </w:tc>
      </w:tr>
      <w:tr w14:paraId="1774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069C7A18">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5EE3DC9">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3836" w:type="dxa"/>
            <w:shd w:val="clear" w:color="auto" w:fill="auto"/>
            <w:noWrap w:val="0"/>
            <w:vAlign w:val="center"/>
          </w:tcPr>
          <w:p w14:paraId="531850CF">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乳腺癌复发风险评估检测</w:t>
            </w:r>
          </w:p>
        </w:tc>
        <w:tc>
          <w:tcPr>
            <w:tcW w:w="1185" w:type="dxa"/>
            <w:vMerge w:val="continue"/>
            <w:shd w:val="clear" w:color="auto" w:fill="auto"/>
            <w:noWrap w:val="0"/>
            <w:vAlign w:val="center"/>
          </w:tcPr>
          <w:p w14:paraId="4120E29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AA238E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2714FE2">
            <w:pPr>
              <w:keepNext w:val="0"/>
              <w:keepLines w:val="0"/>
              <w:widowControl/>
              <w:suppressLineNumbers w:val="0"/>
              <w:jc w:val="center"/>
              <w:textAlignment w:val="center"/>
              <w:rPr>
                <w:rFonts w:hint="eastAsia" w:ascii="宋体" w:hAnsi="宋体" w:cs="宋体"/>
                <w:color w:val="auto"/>
                <w:sz w:val="24"/>
                <w:szCs w:val="24"/>
              </w:rPr>
            </w:pPr>
          </w:p>
        </w:tc>
      </w:tr>
      <w:tr w14:paraId="3E22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0FBA306">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EC3BC43">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3836" w:type="dxa"/>
            <w:shd w:val="clear" w:color="auto" w:fill="auto"/>
            <w:noWrap w:val="0"/>
            <w:vAlign w:val="center"/>
          </w:tcPr>
          <w:p w14:paraId="02690238">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MRD检测</w:t>
            </w:r>
          </w:p>
        </w:tc>
        <w:tc>
          <w:tcPr>
            <w:tcW w:w="1185" w:type="dxa"/>
            <w:vMerge w:val="continue"/>
            <w:shd w:val="clear" w:color="auto" w:fill="auto"/>
            <w:noWrap w:val="0"/>
            <w:vAlign w:val="center"/>
          </w:tcPr>
          <w:p w14:paraId="0E6F054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166D6B7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1844017">
            <w:pPr>
              <w:keepNext w:val="0"/>
              <w:keepLines w:val="0"/>
              <w:widowControl/>
              <w:suppressLineNumbers w:val="0"/>
              <w:jc w:val="center"/>
              <w:textAlignment w:val="center"/>
              <w:rPr>
                <w:rFonts w:hint="eastAsia" w:ascii="宋体" w:hAnsi="宋体" w:cs="宋体"/>
                <w:color w:val="auto"/>
                <w:sz w:val="24"/>
                <w:szCs w:val="24"/>
              </w:rPr>
            </w:pPr>
          </w:p>
        </w:tc>
      </w:tr>
      <w:tr w14:paraId="6D0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549CD1B7">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4DC0965">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3836" w:type="dxa"/>
            <w:shd w:val="clear" w:color="auto" w:fill="auto"/>
            <w:noWrap w:val="0"/>
            <w:vAlign w:val="center"/>
          </w:tcPr>
          <w:p w14:paraId="0D596801">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乳腺癌靶向用药基因检测</w:t>
            </w:r>
          </w:p>
        </w:tc>
        <w:tc>
          <w:tcPr>
            <w:tcW w:w="1185" w:type="dxa"/>
            <w:vMerge w:val="continue"/>
            <w:shd w:val="clear" w:color="auto" w:fill="auto"/>
            <w:noWrap w:val="0"/>
            <w:vAlign w:val="center"/>
          </w:tcPr>
          <w:p w14:paraId="3A34516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0F51876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025A723B">
            <w:pPr>
              <w:keepNext w:val="0"/>
              <w:keepLines w:val="0"/>
              <w:widowControl/>
              <w:suppressLineNumbers w:val="0"/>
              <w:jc w:val="center"/>
              <w:textAlignment w:val="center"/>
              <w:rPr>
                <w:rFonts w:hint="eastAsia" w:ascii="宋体" w:hAnsi="宋体" w:cs="宋体"/>
                <w:color w:val="auto"/>
                <w:sz w:val="24"/>
                <w:szCs w:val="24"/>
              </w:rPr>
            </w:pPr>
          </w:p>
        </w:tc>
      </w:tr>
      <w:tr w14:paraId="6D6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58618C5B">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07C08FDF">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3836" w:type="dxa"/>
            <w:shd w:val="clear" w:color="auto" w:fill="auto"/>
            <w:noWrap w:val="0"/>
            <w:vAlign w:val="center"/>
          </w:tcPr>
          <w:p w14:paraId="074ABF08">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遗传性肿瘤基因筛查</w:t>
            </w:r>
          </w:p>
        </w:tc>
        <w:tc>
          <w:tcPr>
            <w:tcW w:w="1185" w:type="dxa"/>
            <w:vMerge w:val="continue"/>
            <w:shd w:val="clear" w:color="auto" w:fill="auto"/>
            <w:noWrap w:val="0"/>
            <w:vAlign w:val="center"/>
          </w:tcPr>
          <w:p w14:paraId="0755441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7AD7F3D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5D51EF4C">
            <w:pPr>
              <w:keepNext w:val="0"/>
              <w:keepLines w:val="0"/>
              <w:widowControl/>
              <w:suppressLineNumbers w:val="0"/>
              <w:jc w:val="center"/>
              <w:textAlignment w:val="center"/>
              <w:rPr>
                <w:rFonts w:hint="eastAsia" w:ascii="宋体" w:hAnsi="宋体" w:cs="宋体"/>
                <w:color w:val="auto"/>
                <w:sz w:val="24"/>
                <w:szCs w:val="24"/>
              </w:rPr>
            </w:pPr>
          </w:p>
        </w:tc>
      </w:tr>
      <w:tr w14:paraId="155A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6F5F6A05">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562F80CF">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3836" w:type="dxa"/>
            <w:shd w:val="clear" w:color="auto" w:fill="auto"/>
            <w:noWrap w:val="0"/>
            <w:vAlign w:val="center"/>
          </w:tcPr>
          <w:p w14:paraId="6D713860">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人EGFR基因突变检测试剂盒</w:t>
            </w:r>
          </w:p>
        </w:tc>
        <w:tc>
          <w:tcPr>
            <w:tcW w:w="1185" w:type="dxa"/>
            <w:vMerge w:val="continue"/>
            <w:shd w:val="clear" w:color="auto" w:fill="auto"/>
            <w:noWrap w:val="0"/>
            <w:vAlign w:val="center"/>
          </w:tcPr>
          <w:p w14:paraId="4D2D286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52BE423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BE73369">
            <w:pPr>
              <w:keepNext w:val="0"/>
              <w:keepLines w:val="0"/>
              <w:widowControl/>
              <w:suppressLineNumbers w:val="0"/>
              <w:jc w:val="center"/>
              <w:textAlignment w:val="center"/>
              <w:rPr>
                <w:rFonts w:hint="eastAsia" w:ascii="宋体" w:hAnsi="宋体" w:cs="宋体"/>
                <w:color w:val="auto"/>
                <w:sz w:val="24"/>
                <w:szCs w:val="24"/>
              </w:rPr>
            </w:pPr>
          </w:p>
        </w:tc>
      </w:tr>
      <w:tr w14:paraId="78C3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12C8A707">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7EA4632">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3836" w:type="dxa"/>
            <w:shd w:val="clear" w:color="auto" w:fill="auto"/>
            <w:noWrap w:val="0"/>
            <w:vAlign w:val="center"/>
          </w:tcPr>
          <w:p w14:paraId="55D74060">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生殖道tNGS检测</w:t>
            </w:r>
          </w:p>
        </w:tc>
        <w:tc>
          <w:tcPr>
            <w:tcW w:w="1185" w:type="dxa"/>
            <w:vMerge w:val="continue"/>
            <w:shd w:val="clear" w:color="auto" w:fill="auto"/>
            <w:noWrap w:val="0"/>
            <w:vAlign w:val="center"/>
          </w:tcPr>
          <w:p w14:paraId="1EB550D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3799A9C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1B76F21C">
            <w:pPr>
              <w:keepNext w:val="0"/>
              <w:keepLines w:val="0"/>
              <w:widowControl/>
              <w:suppressLineNumbers w:val="0"/>
              <w:jc w:val="center"/>
              <w:textAlignment w:val="center"/>
              <w:rPr>
                <w:rFonts w:hint="eastAsia" w:ascii="宋体" w:hAnsi="宋体" w:cs="宋体"/>
                <w:color w:val="auto"/>
                <w:sz w:val="24"/>
                <w:szCs w:val="24"/>
              </w:rPr>
            </w:pPr>
          </w:p>
        </w:tc>
      </w:tr>
      <w:tr w14:paraId="5644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02571C81">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178A9D53">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w:t>
            </w:r>
          </w:p>
        </w:tc>
        <w:tc>
          <w:tcPr>
            <w:tcW w:w="3836" w:type="dxa"/>
            <w:shd w:val="clear" w:color="auto" w:fill="auto"/>
            <w:noWrap w:val="0"/>
            <w:vAlign w:val="center"/>
          </w:tcPr>
          <w:p w14:paraId="74298A8B">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tNGS检测</w:t>
            </w:r>
          </w:p>
        </w:tc>
        <w:tc>
          <w:tcPr>
            <w:tcW w:w="1185" w:type="dxa"/>
            <w:vMerge w:val="continue"/>
            <w:shd w:val="clear" w:color="auto" w:fill="auto"/>
            <w:noWrap w:val="0"/>
            <w:vAlign w:val="center"/>
          </w:tcPr>
          <w:p w14:paraId="270B454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1793372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3B8D938">
            <w:pPr>
              <w:keepNext w:val="0"/>
              <w:keepLines w:val="0"/>
              <w:widowControl/>
              <w:suppressLineNumbers w:val="0"/>
              <w:jc w:val="center"/>
              <w:textAlignment w:val="center"/>
              <w:rPr>
                <w:rFonts w:hint="eastAsia" w:ascii="宋体" w:hAnsi="宋体" w:cs="宋体"/>
                <w:color w:val="auto"/>
                <w:sz w:val="24"/>
                <w:szCs w:val="24"/>
              </w:rPr>
            </w:pPr>
          </w:p>
        </w:tc>
      </w:tr>
      <w:tr w14:paraId="0B80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6FFBCED3">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428ACE0">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w:t>
            </w:r>
          </w:p>
        </w:tc>
        <w:tc>
          <w:tcPr>
            <w:tcW w:w="3836" w:type="dxa"/>
            <w:shd w:val="clear" w:color="auto" w:fill="auto"/>
            <w:noWrap w:val="0"/>
            <w:vAlign w:val="center"/>
          </w:tcPr>
          <w:p w14:paraId="2FA19F2A">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mNGS(DNA/RNA)检测</w:t>
            </w:r>
          </w:p>
        </w:tc>
        <w:tc>
          <w:tcPr>
            <w:tcW w:w="1185" w:type="dxa"/>
            <w:vMerge w:val="continue"/>
            <w:shd w:val="clear" w:color="auto" w:fill="auto"/>
            <w:noWrap w:val="0"/>
            <w:vAlign w:val="center"/>
          </w:tcPr>
          <w:p w14:paraId="2BBA6D8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5E94F00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390FE0A">
            <w:pPr>
              <w:keepNext w:val="0"/>
              <w:keepLines w:val="0"/>
              <w:widowControl/>
              <w:suppressLineNumbers w:val="0"/>
              <w:jc w:val="center"/>
              <w:textAlignment w:val="center"/>
              <w:rPr>
                <w:rFonts w:hint="eastAsia" w:ascii="宋体" w:hAnsi="宋体" w:cs="宋体"/>
                <w:color w:val="auto"/>
                <w:sz w:val="24"/>
                <w:szCs w:val="24"/>
              </w:rPr>
            </w:pPr>
          </w:p>
        </w:tc>
      </w:tr>
      <w:tr w14:paraId="454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4CE44C24">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DC5C44E">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3836" w:type="dxa"/>
            <w:shd w:val="clear" w:color="auto" w:fill="auto"/>
            <w:noWrap w:val="0"/>
            <w:vAlign w:val="center"/>
          </w:tcPr>
          <w:p w14:paraId="08FF5C41">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肠道菌群检测</w:t>
            </w:r>
          </w:p>
        </w:tc>
        <w:tc>
          <w:tcPr>
            <w:tcW w:w="1185" w:type="dxa"/>
            <w:vMerge w:val="continue"/>
            <w:shd w:val="clear" w:color="auto" w:fill="auto"/>
            <w:noWrap w:val="0"/>
            <w:vAlign w:val="center"/>
          </w:tcPr>
          <w:p w14:paraId="798143B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705CC0D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20D8F48">
            <w:pPr>
              <w:keepNext w:val="0"/>
              <w:keepLines w:val="0"/>
              <w:widowControl/>
              <w:suppressLineNumbers w:val="0"/>
              <w:jc w:val="center"/>
              <w:textAlignment w:val="center"/>
              <w:rPr>
                <w:rFonts w:hint="eastAsia" w:ascii="宋体" w:hAnsi="宋体" w:cs="宋体"/>
                <w:color w:val="auto"/>
                <w:sz w:val="24"/>
                <w:szCs w:val="24"/>
              </w:rPr>
            </w:pPr>
          </w:p>
        </w:tc>
      </w:tr>
      <w:tr w14:paraId="6293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8CEB35B">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4A56D832">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3836" w:type="dxa"/>
            <w:shd w:val="clear" w:color="auto" w:fill="auto"/>
            <w:noWrap w:val="0"/>
            <w:vAlign w:val="center"/>
          </w:tcPr>
          <w:p w14:paraId="75EF64A4">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FMT</w:t>
            </w:r>
          </w:p>
        </w:tc>
        <w:tc>
          <w:tcPr>
            <w:tcW w:w="1185" w:type="dxa"/>
            <w:vMerge w:val="continue"/>
            <w:shd w:val="clear" w:color="auto" w:fill="auto"/>
            <w:noWrap w:val="0"/>
            <w:vAlign w:val="center"/>
          </w:tcPr>
          <w:p w14:paraId="3937DD4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3A0F32B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73F4A2E">
            <w:pPr>
              <w:keepNext w:val="0"/>
              <w:keepLines w:val="0"/>
              <w:widowControl/>
              <w:suppressLineNumbers w:val="0"/>
              <w:jc w:val="center"/>
              <w:textAlignment w:val="center"/>
              <w:rPr>
                <w:rFonts w:hint="eastAsia" w:ascii="宋体" w:hAnsi="宋体" w:cs="宋体"/>
                <w:color w:val="auto"/>
                <w:sz w:val="24"/>
                <w:szCs w:val="24"/>
              </w:rPr>
            </w:pPr>
          </w:p>
        </w:tc>
      </w:tr>
      <w:tr w14:paraId="336D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55AEB0A9">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0DB238D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3836" w:type="dxa"/>
            <w:shd w:val="clear" w:color="auto" w:fill="auto"/>
            <w:noWrap w:val="0"/>
            <w:vAlign w:val="center"/>
          </w:tcPr>
          <w:p w14:paraId="639F5E33">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菌群代谢物检测</w:t>
            </w:r>
          </w:p>
        </w:tc>
        <w:tc>
          <w:tcPr>
            <w:tcW w:w="1185" w:type="dxa"/>
            <w:vMerge w:val="continue"/>
            <w:shd w:val="clear" w:color="auto" w:fill="auto"/>
            <w:noWrap w:val="0"/>
            <w:vAlign w:val="center"/>
          </w:tcPr>
          <w:p w14:paraId="7495F91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9F95CA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172D80CE">
            <w:pPr>
              <w:keepNext w:val="0"/>
              <w:keepLines w:val="0"/>
              <w:widowControl/>
              <w:suppressLineNumbers w:val="0"/>
              <w:jc w:val="center"/>
              <w:textAlignment w:val="center"/>
              <w:rPr>
                <w:rFonts w:hint="eastAsia" w:ascii="宋体" w:hAnsi="宋体" w:cs="宋体"/>
                <w:color w:val="auto"/>
                <w:sz w:val="24"/>
                <w:szCs w:val="24"/>
              </w:rPr>
            </w:pPr>
          </w:p>
        </w:tc>
      </w:tr>
      <w:tr w14:paraId="3E95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0A879A03">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6C7AA564">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3836" w:type="dxa"/>
            <w:shd w:val="clear" w:color="auto" w:fill="auto"/>
            <w:noWrap w:val="0"/>
            <w:vAlign w:val="center"/>
          </w:tcPr>
          <w:p w14:paraId="7EB34BE9">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肺癌甲基化检测(肿瘤早检 )</w:t>
            </w:r>
          </w:p>
        </w:tc>
        <w:tc>
          <w:tcPr>
            <w:tcW w:w="1185" w:type="dxa"/>
            <w:vMerge w:val="continue"/>
            <w:shd w:val="clear" w:color="auto" w:fill="auto"/>
            <w:noWrap w:val="0"/>
            <w:vAlign w:val="center"/>
          </w:tcPr>
          <w:p w14:paraId="449756C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5D4D4C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6A5EF75">
            <w:pPr>
              <w:keepNext w:val="0"/>
              <w:keepLines w:val="0"/>
              <w:widowControl/>
              <w:suppressLineNumbers w:val="0"/>
              <w:jc w:val="center"/>
              <w:textAlignment w:val="center"/>
              <w:rPr>
                <w:rFonts w:hint="eastAsia" w:ascii="宋体" w:hAnsi="宋体" w:cs="宋体"/>
                <w:color w:val="auto"/>
                <w:sz w:val="24"/>
                <w:szCs w:val="24"/>
              </w:rPr>
            </w:pPr>
          </w:p>
        </w:tc>
      </w:tr>
      <w:tr w14:paraId="214A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1FFFC7CC">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51EFF698">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3836" w:type="dxa"/>
            <w:shd w:val="clear" w:color="auto" w:fill="auto"/>
            <w:noWrap w:val="0"/>
            <w:vAlign w:val="center"/>
          </w:tcPr>
          <w:p w14:paraId="44465B31">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结直肠癌甲基化检测(肿瘤早检)</w:t>
            </w:r>
          </w:p>
        </w:tc>
        <w:tc>
          <w:tcPr>
            <w:tcW w:w="1185" w:type="dxa"/>
            <w:vMerge w:val="continue"/>
            <w:shd w:val="clear" w:color="auto" w:fill="auto"/>
            <w:noWrap w:val="0"/>
            <w:vAlign w:val="center"/>
          </w:tcPr>
          <w:p w14:paraId="18A3740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35DB2A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3E4EFECA">
            <w:pPr>
              <w:keepNext w:val="0"/>
              <w:keepLines w:val="0"/>
              <w:widowControl/>
              <w:suppressLineNumbers w:val="0"/>
              <w:jc w:val="center"/>
              <w:textAlignment w:val="center"/>
              <w:rPr>
                <w:rFonts w:hint="eastAsia" w:ascii="宋体" w:hAnsi="宋体" w:cs="宋体"/>
                <w:color w:val="auto"/>
                <w:sz w:val="24"/>
                <w:szCs w:val="24"/>
              </w:rPr>
            </w:pPr>
          </w:p>
        </w:tc>
      </w:tr>
      <w:tr w14:paraId="14B9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3A4BE99F">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230473F6">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3836" w:type="dxa"/>
            <w:shd w:val="clear" w:color="auto" w:fill="auto"/>
            <w:noWrap w:val="0"/>
            <w:vAlign w:val="center"/>
          </w:tcPr>
          <w:p w14:paraId="263413BB">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食管癌甲基化检测(肿瘤早检)</w:t>
            </w:r>
          </w:p>
        </w:tc>
        <w:tc>
          <w:tcPr>
            <w:tcW w:w="1185" w:type="dxa"/>
            <w:vMerge w:val="continue"/>
            <w:shd w:val="clear" w:color="auto" w:fill="auto"/>
            <w:noWrap w:val="0"/>
            <w:vAlign w:val="center"/>
          </w:tcPr>
          <w:p w14:paraId="2682847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166DBAF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4BA528C7">
            <w:pPr>
              <w:keepNext w:val="0"/>
              <w:keepLines w:val="0"/>
              <w:widowControl/>
              <w:suppressLineNumbers w:val="0"/>
              <w:jc w:val="center"/>
              <w:textAlignment w:val="center"/>
              <w:rPr>
                <w:rFonts w:hint="eastAsia" w:ascii="宋体" w:hAnsi="宋体" w:cs="宋体"/>
                <w:color w:val="auto"/>
                <w:sz w:val="24"/>
                <w:szCs w:val="24"/>
              </w:rPr>
            </w:pPr>
          </w:p>
        </w:tc>
      </w:tr>
      <w:tr w14:paraId="367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2CDE931">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11D7E5B6">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3836" w:type="dxa"/>
            <w:shd w:val="clear" w:color="auto" w:fill="auto"/>
            <w:noWrap w:val="0"/>
            <w:vAlign w:val="center"/>
          </w:tcPr>
          <w:p w14:paraId="011BD439">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胃癌甲基化检测(肿瘤早检 )</w:t>
            </w:r>
          </w:p>
        </w:tc>
        <w:tc>
          <w:tcPr>
            <w:tcW w:w="1185" w:type="dxa"/>
            <w:vMerge w:val="continue"/>
            <w:shd w:val="clear" w:color="auto" w:fill="auto"/>
            <w:noWrap w:val="0"/>
            <w:vAlign w:val="center"/>
          </w:tcPr>
          <w:p w14:paraId="0CAEEE8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BB130E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257C4601">
            <w:pPr>
              <w:keepNext w:val="0"/>
              <w:keepLines w:val="0"/>
              <w:widowControl/>
              <w:suppressLineNumbers w:val="0"/>
              <w:jc w:val="center"/>
              <w:textAlignment w:val="center"/>
              <w:rPr>
                <w:rFonts w:hint="eastAsia" w:ascii="宋体" w:hAnsi="宋体" w:cs="宋体"/>
                <w:color w:val="auto"/>
                <w:sz w:val="24"/>
                <w:szCs w:val="24"/>
              </w:rPr>
            </w:pPr>
          </w:p>
        </w:tc>
      </w:tr>
      <w:tr w14:paraId="511D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5D7FA12B">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BD9BD8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3836" w:type="dxa"/>
            <w:shd w:val="clear" w:color="auto" w:fill="auto"/>
            <w:noWrap w:val="0"/>
            <w:vAlign w:val="center"/>
          </w:tcPr>
          <w:p w14:paraId="0A31B571">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肝癌甲基化检测(肿瘤早检 )</w:t>
            </w:r>
          </w:p>
        </w:tc>
        <w:tc>
          <w:tcPr>
            <w:tcW w:w="1185" w:type="dxa"/>
            <w:vMerge w:val="continue"/>
            <w:shd w:val="clear" w:color="auto" w:fill="auto"/>
            <w:noWrap w:val="0"/>
            <w:vAlign w:val="center"/>
          </w:tcPr>
          <w:p w14:paraId="5163332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4AE7F6E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889326C">
            <w:pPr>
              <w:keepNext w:val="0"/>
              <w:keepLines w:val="0"/>
              <w:widowControl/>
              <w:suppressLineNumbers w:val="0"/>
              <w:jc w:val="center"/>
              <w:textAlignment w:val="center"/>
              <w:rPr>
                <w:rFonts w:hint="eastAsia" w:ascii="宋体" w:hAnsi="宋体" w:cs="宋体"/>
                <w:color w:val="auto"/>
                <w:sz w:val="24"/>
                <w:szCs w:val="24"/>
              </w:rPr>
            </w:pPr>
          </w:p>
        </w:tc>
      </w:tr>
      <w:tr w14:paraId="012C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20546656">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C664836">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w:t>
            </w:r>
          </w:p>
        </w:tc>
        <w:tc>
          <w:tcPr>
            <w:tcW w:w="3836" w:type="dxa"/>
            <w:shd w:val="clear" w:color="auto" w:fill="auto"/>
            <w:noWrap w:val="0"/>
            <w:vAlign w:val="center"/>
          </w:tcPr>
          <w:p w14:paraId="252DB849">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尿路上皮癌基因检测(肿瘤早检)</w:t>
            </w:r>
          </w:p>
        </w:tc>
        <w:tc>
          <w:tcPr>
            <w:tcW w:w="1185" w:type="dxa"/>
            <w:vMerge w:val="continue"/>
            <w:shd w:val="clear" w:color="auto" w:fill="auto"/>
            <w:noWrap w:val="0"/>
            <w:vAlign w:val="center"/>
          </w:tcPr>
          <w:p w14:paraId="0221D8F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07DBD59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78D6352">
            <w:pPr>
              <w:keepNext w:val="0"/>
              <w:keepLines w:val="0"/>
              <w:widowControl/>
              <w:suppressLineNumbers w:val="0"/>
              <w:jc w:val="center"/>
              <w:textAlignment w:val="center"/>
              <w:rPr>
                <w:rFonts w:hint="eastAsia" w:ascii="宋体" w:hAnsi="宋体" w:cs="宋体"/>
                <w:color w:val="auto"/>
                <w:sz w:val="24"/>
                <w:szCs w:val="24"/>
              </w:rPr>
            </w:pPr>
          </w:p>
        </w:tc>
      </w:tr>
      <w:tr w14:paraId="6B60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DDEBB39">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18DD42A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w:t>
            </w:r>
          </w:p>
        </w:tc>
        <w:tc>
          <w:tcPr>
            <w:tcW w:w="3836" w:type="dxa"/>
            <w:shd w:val="clear" w:color="auto" w:fill="auto"/>
            <w:noWrap w:val="0"/>
            <w:vAlign w:val="center"/>
          </w:tcPr>
          <w:p w14:paraId="172EA342">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宫颈癌甲基化检测(肿瘤早检)</w:t>
            </w:r>
          </w:p>
        </w:tc>
        <w:tc>
          <w:tcPr>
            <w:tcW w:w="1185" w:type="dxa"/>
            <w:vMerge w:val="continue"/>
            <w:shd w:val="clear" w:color="auto" w:fill="auto"/>
            <w:noWrap w:val="0"/>
            <w:vAlign w:val="center"/>
          </w:tcPr>
          <w:p w14:paraId="4F17F2D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5427C7D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1EACCBB2">
            <w:pPr>
              <w:keepNext w:val="0"/>
              <w:keepLines w:val="0"/>
              <w:widowControl/>
              <w:suppressLineNumbers w:val="0"/>
              <w:jc w:val="center"/>
              <w:textAlignment w:val="center"/>
              <w:rPr>
                <w:rFonts w:hint="eastAsia" w:ascii="宋体" w:hAnsi="宋体" w:cs="宋体"/>
                <w:color w:val="auto"/>
                <w:sz w:val="24"/>
                <w:szCs w:val="24"/>
              </w:rPr>
            </w:pPr>
          </w:p>
        </w:tc>
      </w:tr>
      <w:tr w14:paraId="0FC7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57850F35">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2BC826E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w:t>
            </w:r>
          </w:p>
        </w:tc>
        <w:tc>
          <w:tcPr>
            <w:tcW w:w="3836" w:type="dxa"/>
            <w:shd w:val="clear" w:color="auto" w:fill="auto"/>
            <w:noWrap w:val="0"/>
            <w:vAlign w:val="center"/>
          </w:tcPr>
          <w:p w14:paraId="5B763AC1">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子宫内膜癌甲基化检测(肿瘤早检)</w:t>
            </w:r>
          </w:p>
        </w:tc>
        <w:tc>
          <w:tcPr>
            <w:tcW w:w="1185" w:type="dxa"/>
            <w:vMerge w:val="continue"/>
            <w:shd w:val="clear" w:color="auto" w:fill="auto"/>
            <w:noWrap w:val="0"/>
            <w:vAlign w:val="center"/>
          </w:tcPr>
          <w:p w14:paraId="24E7CE6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4A2F1D6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4D346F26">
            <w:pPr>
              <w:keepNext w:val="0"/>
              <w:keepLines w:val="0"/>
              <w:widowControl/>
              <w:suppressLineNumbers w:val="0"/>
              <w:jc w:val="center"/>
              <w:textAlignment w:val="center"/>
              <w:rPr>
                <w:rFonts w:hint="eastAsia" w:ascii="宋体" w:hAnsi="宋体" w:cs="宋体"/>
                <w:color w:val="auto"/>
                <w:sz w:val="24"/>
                <w:szCs w:val="24"/>
              </w:rPr>
            </w:pPr>
          </w:p>
        </w:tc>
      </w:tr>
      <w:tr w14:paraId="6D75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0FC1B04E">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1EE7DBBA">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w:t>
            </w:r>
          </w:p>
        </w:tc>
        <w:tc>
          <w:tcPr>
            <w:tcW w:w="3836" w:type="dxa"/>
            <w:shd w:val="clear" w:color="auto" w:fill="auto"/>
            <w:noWrap w:val="0"/>
            <w:vAlign w:val="center"/>
          </w:tcPr>
          <w:p w14:paraId="25D11FEB">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卵巢癌甲基化检测(肿瘤早检)</w:t>
            </w:r>
          </w:p>
        </w:tc>
        <w:tc>
          <w:tcPr>
            <w:tcW w:w="1185" w:type="dxa"/>
            <w:vMerge w:val="continue"/>
            <w:shd w:val="clear" w:color="auto" w:fill="auto"/>
            <w:noWrap w:val="0"/>
            <w:vAlign w:val="center"/>
          </w:tcPr>
          <w:p w14:paraId="240ECFB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13C6DCD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5801A488">
            <w:pPr>
              <w:keepNext w:val="0"/>
              <w:keepLines w:val="0"/>
              <w:widowControl/>
              <w:suppressLineNumbers w:val="0"/>
              <w:jc w:val="center"/>
              <w:textAlignment w:val="center"/>
              <w:rPr>
                <w:rFonts w:hint="eastAsia" w:ascii="宋体" w:hAnsi="宋体" w:cs="宋体"/>
                <w:color w:val="auto"/>
                <w:sz w:val="24"/>
                <w:szCs w:val="24"/>
              </w:rPr>
            </w:pPr>
          </w:p>
        </w:tc>
      </w:tr>
      <w:tr w14:paraId="5318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1BD137D">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41A53CAD">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w:t>
            </w:r>
          </w:p>
        </w:tc>
        <w:tc>
          <w:tcPr>
            <w:tcW w:w="3836" w:type="dxa"/>
            <w:shd w:val="clear" w:color="auto" w:fill="auto"/>
            <w:noWrap w:val="0"/>
            <w:vAlign w:val="center"/>
          </w:tcPr>
          <w:p w14:paraId="3FAB35ED">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人类MGMT基因甲基化检 测试剂盒(荧光PCR法)</w:t>
            </w:r>
          </w:p>
        </w:tc>
        <w:tc>
          <w:tcPr>
            <w:tcW w:w="1185" w:type="dxa"/>
            <w:vMerge w:val="continue"/>
            <w:shd w:val="clear" w:color="auto" w:fill="auto"/>
            <w:noWrap w:val="0"/>
            <w:vAlign w:val="center"/>
          </w:tcPr>
          <w:p w14:paraId="31E6FFB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24450C1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3D5FC7B7">
            <w:pPr>
              <w:keepNext w:val="0"/>
              <w:keepLines w:val="0"/>
              <w:widowControl/>
              <w:suppressLineNumbers w:val="0"/>
              <w:jc w:val="center"/>
              <w:textAlignment w:val="center"/>
              <w:rPr>
                <w:rFonts w:hint="eastAsia" w:ascii="宋体" w:hAnsi="宋体" w:cs="宋体"/>
                <w:color w:val="auto"/>
                <w:sz w:val="24"/>
                <w:szCs w:val="24"/>
              </w:rPr>
            </w:pPr>
          </w:p>
        </w:tc>
      </w:tr>
      <w:tr w14:paraId="68D5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62578431">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74E893EC">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w:t>
            </w:r>
          </w:p>
        </w:tc>
        <w:tc>
          <w:tcPr>
            <w:tcW w:w="3836" w:type="dxa"/>
            <w:shd w:val="clear" w:color="auto" w:fill="auto"/>
            <w:noWrap w:val="0"/>
            <w:vAlign w:val="center"/>
          </w:tcPr>
          <w:p w14:paraId="5B205C28">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ctDNA甲基化检测+影像学AI分析联合诊断肺结节良恶性</w:t>
            </w:r>
          </w:p>
        </w:tc>
        <w:tc>
          <w:tcPr>
            <w:tcW w:w="1185" w:type="dxa"/>
            <w:vMerge w:val="continue"/>
            <w:shd w:val="clear" w:color="auto" w:fill="auto"/>
            <w:noWrap w:val="0"/>
            <w:vAlign w:val="center"/>
          </w:tcPr>
          <w:p w14:paraId="1F2F876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049F112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638287DC">
            <w:pPr>
              <w:keepNext w:val="0"/>
              <w:keepLines w:val="0"/>
              <w:widowControl/>
              <w:suppressLineNumbers w:val="0"/>
              <w:jc w:val="center"/>
              <w:textAlignment w:val="center"/>
              <w:rPr>
                <w:rFonts w:hint="eastAsia" w:ascii="宋体" w:hAnsi="宋体" w:cs="宋体"/>
                <w:color w:val="auto"/>
                <w:sz w:val="24"/>
                <w:szCs w:val="24"/>
              </w:rPr>
            </w:pPr>
          </w:p>
        </w:tc>
      </w:tr>
      <w:tr w14:paraId="40D0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75C259CD">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2C071E59">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w:t>
            </w:r>
          </w:p>
        </w:tc>
        <w:tc>
          <w:tcPr>
            <w:tcW w:w="3836" w:type="dxa"/>
            <w:shd w:val="clear" w:color="auto" w:fill="auto"/>
            <w:noWrap w:val="0"/>
            <w:vAlign w:val="center"/>
          </w:tcPr>
          <w:p w14:paraId="1A8C2E6F">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消化系统五癌基因甲基化检测(肿瘤早检)</w:t>
            </w:r>
          </w:p>
        </w:tc>
        <w:tc>
          <w:tcPr>
            <w:tcW w:w="1185" w:type="dxa"/>
            <w:vMerge w:val="continue"/>
            <w:shd w:val="clear" w:color="auto" w:fill="auto"/>
            <w:noWrap w:val="0"/>
            <w:vAlign w:val="center"/>
          </w:tcPr>
          <w:p w14:paraId="4D8F1C2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C730DA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0C5FE694">
            <w:pPr>
              <w:keepNext w:val="0"/>
              <w:keepLines w:val="0"/>
              <w:widowControl/>
              <w:suppressLineNumbers w:val="0"/>
              <w:jc w:val="center"/>
              <w:textAlignment w:val="center"/>
              <w:rPr>
                <w:rFonts w:hint="eastAsia" w:ascii="宋体" w:hAnsi="宋体" w:cs="宋体"/>
                <w:color w:val="auto"/>
                <w:sz w:val="24"/>
                <w:szCs w:val="24"/>
              </w:rPr>
            </w:pPr>
          </w:p>
        </w:tc>
      </w:tr>
      <w:tr w14:paraId="4A0C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95" w:type="dxa"/>
            <w:vMerge w:val="continue"/>
            <w:noWrap w:val="0"/>
            <w:vAlign w:val="center"/>
          </w:tcPr>
          <w:p w14:paraId="4C6134DE">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2C4E7B4C">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w:t>
            </w:r>
          </w:p>
        </w:tc>
        <w:tc>
          <w:tcPr>
            <w:tcW w:w="3836" w:type="dxa"/>
            <w:shd w:val="clear" w:color="auto" w:fill="auto"/>
            <w:noWrap w:val="0"/>
            <w:vAlign w:val="center"/>
          </w:tcPr>
          <w:p w14:paraId="65867EF2">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质谱流式试剂</w:t>
            </w:r>
          </w:p>
        </w:tc>
        <w:tc>
          <w:tcPr>
            <w:tcW w:w="1185" w:type="dxa"/>
            <w:vMerge w:val="continue"/>
            <w:shd w:val="clear" w:color="auto" w:fill="auto"/>
            <w:noWrap w:val="0"/>
            <w:vAlign w:val="center"/>
          </w:tcPr>
          <w:p w14:paraId="1195CEA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6AF66B1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79699B69">
            <w:pPr>
              <w:keepNext w:val="0"/>
              <w:keepLines w:val="0"/>
              <w:widowControl/>
              <w:suppressLineNumbers w:val="0"/>
              <w:jc w:val="center"/>
              <w:textAlignment w:val="center"/>
              <w:rPr>
                <w:rFonts w:hint="eastAsia" w:ascii="宋体" w:hAnsi="宋体" w:cs="宋体"/>
                <w:color w:val="auto"/>
                <w:sz w:val="24"/>
                <w:szCs w:val="24"/>
              </w:rPr>
            </w:pPr>
          </w:p>
        </w:tc>
      </w:tr>
      <w:tr w14:paraId="1C2A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5" w:type="dxa"/>
            <w:vMerge w:val="continue"/>
            <w:noWrap w:val="0"/>
            <w:vAlign w:val="center"/>
          </w:tcPr>
          <w:p w14:paraId="16F55570">
            <w:pPr>
              <w:widowControl/>
              <w:spacing w:line="400" w:lineRule="exact"/>
              <w:jc w:val="center"/>
              <w:rPr>
                <w:rFonts w:hint="eastAsia" w:ascii="宋体" w:hAnsi="宋体" w:eastAsia="宋体" w:cs="宋体"/>
                <w:color w:val="auto"/>
                <w:sz w:val="24"/>
                <w:szCs w:val="24"/>
                <w:lang w:val="en-US" w:eastAsia="zh-CN"/>
              </w:rPr>
            </w:pPr>
          </w:p>
        </w:tc>
        <w:tc>
          <w:tcPr>
            <w:tcW w:w="714" w:type="dxa"/>
            <w:shd w:val="clear" w:color="auto" w:fill="auto"/>
            <w:noWrap w:val="0"/>
            <w:vAlign w:val="center"/>
          </w:tcPr>
          <w:p w14:paraId="37173BEB">
            <w:pPr>
              <w:pStyle w:val="210"/>
              <w:spacing w:before="68" w:line="241"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p>
        </w:tc>
        <w:tc>
          <w:tcPr>
            <w:tcW w:w="3836" w:type="dxa"/>
            <w:shd w:val="clear" w:color="auto" w:fill="auto"/>
            <w:noWrap w:val="0"/>
            <w:vAlign w:val="center"/>
          </w:tcPr>
          <w:p w14:paraId="7B9507D0">
            <w:pPr>
              <w:pStyle w:val="210"/>
              <w:spacing w:before="60" w:line="21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萎缩性胃炎2项</w:t>
            </w:r>
          </w:p>
        </w:tc>
        <w:tc>
          <w:tcPr>
            <w:tcW w:w="1185" w:type="dxa"/>
            <w:vMerge w:val="continue"/>
            <w:shd w:val="clear" w:color="auto" w:fill="auto"/>
            <w:noWrap w:val="0"/>
            <w:vAlign w:val="center"/>
          </w:tcPr>
          <w:p w14:paraId="56755E8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2015" w:type="dxa"/>
            <w:vMerge w:val="continue"/>
            <w:noWrap w:val="0"/>
            <w:vAlign w:val="center"/>
          </w:tcPr>
          <w:p w14:paraId="4966B03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p>
        </w:tc>
        <w:tc>
          <w:tcPr>
            <w:tcW w:w="1083" w:type="dxa"/>
            <w:vMerge w:val="continue"/>
            <w:noWrap w:val="0"/>
            <w:vAlign w:val="center"/>
          </w:tcPr>
          <w:p w14:paraId="32F8ECD9">
            <w:pPr>
              <w:keepNext w:val="0"/>
              <w:keepLines w:val="0"/>
              <w:widowControl/>
              <w:suppressLineNumbers w:val="0"/>
              <w:jc w:val="center"/>
              <w:textAlignment w:val="center"/>
              <w:rPr>
                <w:rFonts w:hint="eastAsia" w:ascii="宋体" w:hAnsi="宋体" w:cs="宋体"/>
                <w:color w:val="auto"/>
                <w:sz w:val="24"/>
                <w:szCs w:val="24"/>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23FB6553">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1A22AB3A">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10137"/>
      <w:bookmarkStart w:id="20" w:name="_Toc25496"/>
      <w:bookmarkStart w:id="21" w:name="_Toc76373866"/>
      <w:bookmarkStart w:id="22" w:name="_Toc30358"/>
      <w:bookmarkStart w:id="23" w:name="_Toc3434"/>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精准医学中心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精准医学中心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精准医学中心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精准医学中心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9714"/>
      <w:bookmarkStart w:id="45" w:name="_Toc14224"/>
      <w:bookmarkStart w:id="46" w:name="_Toc4033"/>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2599"/>
      <w:bookmarkStart w:id="52" w:name="_Toc3153"/>
      <w:bookmarkStart w:id="53" w:name="_Toc11474"/>
      <w:bookmarkStart w:id="54" w:name="_Toc13391"/>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29225"/>
      <w:bookmarkStart w:id="60" w:name="_Toc29620"/>
      <w:bookmarkStart w:id="61" w:name="_Toc6355"/>
      <w:bookmarkStart w:id="62" w:name="_Toc30465"/>
      <w:bookmarkStart w:id="63" w:name="_Toc1955"/>
      <w:bookmarkStart w:id="64" w:name="_Toc13107"/>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序号1</w:t>
      </w:r>
    </w:p>
    <w:p w14:paraId="6880954B">
      <w:pPr>
        <w:pStyle w:val="168"/>
        <w:widowControl/>
        <w:spacing w:line="400" w:lineRule="exact"/>
        <w:ind w:firstLine="492" w:firstLineChars="200"/>
        <w:rPr>
          <w:rFonts w:hint="eastAsia" w:ascii="Times New Roman" w:hAnsi="Times New Roman" w:eastAsia="宋体" w:cs="Times New Roman"/>
          <w:b w:val="0"/>
          <w:bCs w:val="0"/>
          <w:color w:val="auto"/>
          <w:sz w:val="24"/>
          <w:szCs w:val="24"/>
          <w:lang w:val="en-US" w:eastAsia="zh-CN"/>
        </w:rPr>
      </w:pPr>
      <w:r>
        <w:rPr>
          <w:spacing w:val="3"/>
        </w:rPr>
        <w:t>实体瘤大</w:t>
      </w:r>
      <w:r>
        <w:t>panel</w:t>
      </w:r>
      <w:r>
        <w:rPr>
          <w:spacing w:val="4"/>
        </w:rPr>
        <w:t>基因检测</w:t>
      </w:r>
      <w:r>
        <w:rPr>
          <w:rFonts w:hint="eastAsia"/>
          <w:spacing w:val="4"/>
          <w:lang w:eastAsia="zh-CN"/>
        </w:rPr>
        <w:t>：</w:t>
      </w:r>
    </w:p>
    <w:p w14:paraId="4F610DB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1.检验原理：联合探针锚定聚合技术。</w:t>
      </w:r>
    </w:p>
    <w:p w14:paraId="2A46EA3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2.大panel</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基于靶向捕获的NGS</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检测≥800个实体瘤相关基因，涵盖靶向治疗基因、TMB、MSI、免疫疗效相关基因、化疗相关基因、遗传性肿瘤相关基因。提供靶向、化疗、免疫治疗用药指导及遗传性肿瘤风险评估。MSI位点数量≥1000个，芯片捕获区域≥1.89M。</w:t>
      </w:r>
    </w:p>
    <w:p w14:paraId="5B0CF61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3.质控：有效测序深度≥2700X(ctDNA)</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有效测序深度≥1000(组织)。</w:t>
      </w:r>
    </w:p>
    <w:p w14:paraId="72FBF94A">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4.样本类型：ctDNA(血检)/组织+外周血。</w:t>
      </w:r>
    </w:p>
    <w:p w14:paraId="54F1B8D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5.组织样本可稳定检出肿瘤细胞含量10%的变异。</w:t>
      </w:r>
    </w:p>
    <w:p w14:paraId="4040E434">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突变类型：SNV、InDel、CNV、Fusion。</w:t>
      </w:r>
    </w:p>
    <w:p w14:paraId="5F62B647">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7.试剂须具备医疗器械注册证或备案凭证。</w:t>
      </w:r>
    </w:p>
    <w:p w14:paraId="6D002B60">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8.适配：MGISEQ-2000/DNBSEQ-G99/Gene+Seq-100测序仪。。</w:t>
      </w:r>
    </w:p>
    <w:p w14:paraId="6ED3B975">
      <w:pPr>
        <w:pStyle w:val="31"/>
        <w:rPr>
          <w:rFonts w:hint="default"/>
          <w:lang w:val="en-US" w:eastAsia="zh-CN"/>
        </w:rPr>
      </w:pPr>
    </w:p>
    <w:p w14:paraId="24E8E394">
      <w:pPr>
        <w:spacing w:line="320" w:lineRule="exact"/>
        <w:ind w:left="479" w:leftChars="85" w:hanging="241" w:hangingChars="100"/>
        <w:jc w:val="left"/>
        <w:rPr>
          <w:rFonts w:hint="default" w:ascii="Times New Roman" w:hAnsi="Times New Roman" w:eastAsia="宋体" w:cs="Times New Roman"/>
          <w:b w:val="0"/>
          <w:bCs w:val="0"/>
          <w:color w:val="auto"/>
          <w:sz w:val="24"/>
          <w:szCs w:val="24"/>
          <w:lang w:val="en-US" w:eastAsia="zh-CN"/>
        </w:rPr>
      </w:pPr>
      <w:r>
        <w:rPr>
          <w:rFonts w:hint="eastAsia" w:ascii="宋体" w:hAnsi="宋体" w:cs="宋体"/>
          <w:b/>
          <w:bCs/>
          <w:color w:val="auto"/>
          <w:sz w:val="24"/>
          <w:szCs w:val="24"/>
          <w:lang w:val="en-US" w:eastAsia="zh-CN"/>
        </w:rPr>
        <w:t>序号2</w:t>
      </w:r>
    </w:p>
    <w:p w14:paraId="0F537CE0">
      <w:pPr>
        <w:pStyle w:val="168"/>
        <w:widowControl/>
        <w:spacing w:line="400" w:lineRule="exact"/>
        <w:ind w:firstLine="492" w:firstLineChars="200"/>
        <w:rPr>
          <w:rFonts w:hint="eastAsia" w:ascii="Times New Roman" w:hAnsi="Times New Roman" w:eastAsia="宋体" w:cs="Times New Roman"/>
          <w:b w:val="0"/>
          <w:bCs w:val="0"/>
          <w:color w:val="auto"/>
          <w:sz w:val="24"/>
          <w:szCs w:val="24"/>
          <w:lang w:val="en-US" w:eastAsia="zh-CN"/>
        </w:rPr>
      </w:pPr>
      <w:r>
        <w:rPr>
          <w:spacing w:val="3"/>
        </w:rPr>
        <w:t>实体瘤中</w:t>
      </w:r>
      <w:r>
        <w:t>panel</w:t>
      </w:r>
      <w:r>
        <w:rPr>
          <w:spacing w:val="4"/>
        </w:rPr>
        <w:t>基因检测</w:t>
      </w:r>
      <w:r>
        <w:rPr>
          <w:rFonts w:hint="eastAsia"/>
          <w:spacing w:val="4"/>
          <w:lang w:eastAsia="zh-CN"/>
        </w:rPr>
        <w:t>：</w:t>
      </w:r>
    </w:p>
    <w:p w14:paraId="06B08C52">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1.检验原理：联合探针锚定聚合技术。</w:t>
      </w:r>
    </w:p>
    <w:p w14:paraId="74D1636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2.中panel</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基于靶向捕获的NGS</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检测≥180个实体瘤基因，含MSI分析。提供靶向治疗、免疫治疗、化疗的用药指导和遗传性肿瘤风险评估。遗传性易感基因≥44个，MS位点≥60个。</w:t>
      </w:r>
    </w:p>
    <w:p w14:paraId="28936FC4">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3.质控：有效测序深度≥2700X(ctDNA)</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有效测序深度≥1000(组织)。</w:t>
      </w:r>
    </w:p>
    <w:p w14:paraId="63EAAF67">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4.样本类型：ctDNA(血检)/组织+外周血</w:t>
      </w:r>
      <w:r>
        <w:rPr>
          <w:rFonts w:hint="eastAsia" w:ascii="Times New Roman" w:hAnsi="Times New Roman" w:cs="Times New Roman"/>
          <w:b w:val="0"/>
          <w:bCs w:val="0"/>
          <w:color w:val="auto"/>
          <w:sz w:val="24"/>
          <w:szCs w:val="24"/>
          <w:lang w:val="en-US" w:eastAsia="zh-CN"/>
        </w:rPr>
        <w:t>。</w:t>
      </w:r>
    </w:p>
    <w:p w14:paraId="35FD520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5.组织样本可稳定检出肿瘤细胞含量10%的变异。</w:t>
      </w:r>
    </w:p>
    <w:p w14:paraId="6E06030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6.突变类型：SNV、InDel、CNV、Fusion。</w:t>
      </w:r>
    </w:p>
    <w:p w14:paraId="18D036DA">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7.试剂须具备医疗器械注册证或备案凭证。</w:t>
      </w:r>
    </w:p>
    <w:p w14:paraId="05D2F106">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8.适配：MGISEQ-2000/DNBSEQ-G99/Gene+Seq-100测序仪。</w:t>
      </w:r>
    </w:p>
    <w:p w14:paraId="70CAF24A">
      <w:pPr>
        <w:pStyle w:val="31"/>
        <w:rPr>
          <w:rFonts w:hint="default"/>
          <w:lang w:val="en-US" w:eastAsia="zh-CN"/>
        </w:rPr>
      </w:pPr>
    </w:p>
    <w:p w14:paraId="77FA25DD">
      <w:pPr>
        <w:spacing w:line="320" w:lineRule="exact"/>
        <w:ind w:left="479" w:leftChars="85" w:hanging="241" w:hangingChars="100"/>
        <w:jc w:val="left"/>
        <w:rPr>
          <w:rFonts w:hint="default" w:ascii="Times New Roman" w:hAnsi="Times New Roman" w:eastAsia="宋体" w:cs="Times New Roman"/>
          <w:b w:val="0"/>
          <w:bCs w:val="0"/>
          <w:color w:val="auto"/>
          <w:sz w:val="24"/>
          <w:szCs w:val="24"/>
          <w:lang w:val="en-US" w:eastAsia="zh-CN"/>
        </w:rPr>
      </w:pPr>
      <w:r>
        <w:rPr>
          <w:rFonts w:hint="eastAsia" w:ascii="宋体" w:hAnsi="宋体" w:cs="宋体"/>
          <w:b/>
          <w:bCs/>
          <w:color w:val="auto"/>
          <w:sz w:val="24"/>
          <w:szCs w:val="24"/>
          <w:lang w:val="en-US" w:eastAsia="zh-CN"/>
        </w:rPr>
        <w:t>序号3</w:t>
      </w:r>
    </w:p>
    <w:p w14:paraId="074C7D87">
      <w:pPr>
        <w:pStyle w:val="168"/>
        <w:widowControl/>
        <w:spacing w:line="400" w:lineRule="exact"/>
        <w:ind w:firstLine="492" w:firstLineChars="200"/>
        <w:rPr>
          <w:rFonts w:hint="eastAsia"/>
          <w:spacing w:val="4"/>
          <w:lang w:eastAsia="zh-CN"/>
        </w:rPr>
      </w:pPr>
      <w:r>
        <w:rPr>
          <w:spacing w:val="3"/>
        </w:rPr>
        <w:t>实体瘤小</w:t>
      </w:r>
      <w:r>
        <w:t>panel</w:t>
      </w:r>
      <w:r>
        <w:rPr>
          <w:spacing w:val="4"/>
        </w:rPr>
        <w:t>基因检测</w:t>
      </w:r>
      <w:r>
        <w:rPr>
          <w:rFonts w:hint="eastAsia"/>
          <w:spacing w:val="4"/>
          <w:lang w:eastAsia="zh-CN"/>
        </w:rPr>
        <w:t>：</w:t>
      </w:r>
    </w:p>
    <w:p w14:paraId="75BB421C">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1.适用范围：检测非小细胞肺癌</w:t>
      </w:r>
      <w:r>
        <w:rPr>
          <w:rFonts w:hint="eastAsia" w:ascii="Times New Roman" w:hAnsi="Times New Roman" w:cs="Times New Roman"/>
          <w:b w:val="0"/>
          <w:bCs w:val="0"/>
          <w:color w:val="auto"/>
          <w:sz w:val="24"/>
          <w:szCs w:val="24"/>
          <w:lang w:val="en-US" w:eastAsia="zh-CN"/>
        </w:rPr>
        <w:t>。</w:t>
      </w:r>
    </w:p>
    <w:p w14:paraId="0C118568">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2.样本类型：组织</w:t>
      </w:r>
      <w:r>
        <w:rPr>
          <w:rFonts w:hint="eastAsia" w:ascii="Times New Roman" w:hAnsi="Times New Roman" w:cs="Times New Roman"/>
          <w:b w:val="0"/>
          <w:bCs w:val="0"/>
          <w:color w:val="auto"/>
          <w:sz w:val="24"/>
          <w:szCs w:val="24"/>
          <w:lang w:val="en-US" w:eastAsia="zh-CN"/>
        </w:rPr>
        <w:t>。</w:t>
      </w:r>
    </w:p>
    <w:p w14:paraId="4566612C">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3.检测范围：肺癌靶向用药相关的基因，至少包括EGFR、KRAS、ALK。</w:t>
      </w:r>
    </w:p>
    <w:p w14:paraId="1C184BAA">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4.检验原理：联合探针锚定聚合技术。</w:t>
      </w:r>
    </w:p>
    <w:p w14:paraId="2089514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5.试剂须具备医疗器械注册证或备案凭证。</w:t>
      </w:r>
    </w:p>
    <w:p w14:paraId="4FC8E57E">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6.适配：MGISEQ-2000/DNBSEQ-G99/Gene+Seq-100测序仪。</w:t>
      </w:r>
    </w:p>
    <w:p w14:paraId="35E06771">
      <w:pPr>
        <w:pStyle w:val="31"/>
        <w:rPr>
          <w:rFonts w:hint="default"/>
          <w:lang w:val="en-US" w:eastAsia="zh-CN"/>
        </w:rPr>
      </w:pPr>
    </w:p>
    <w:p w14:paraId="31321105">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序号4</w:t>
      </w:r>
    </w:p>
    <w:p w14:paraId="4634769F">
      <w:pPr>
        <w:spacing w:line="320" w:lineRule="exact"/>
        <w:ind w:left="478" w:leftChars="85" w:hanging="240" w:hangingChars="100"/>
        <w:jc w:val="left"/>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子宫内膜癌分子分型检测</w:t>
      </w:r>
      <w:r>
        <w:rPr>
          <w:rFonts w:hint="eastAsia" w:cs="Times New Roman"/>
          <w:b w:val="0"/>
          <w:bCs w:val="0"/>
          <w:color w:val="auto"/>
          <w:kern w:val="2"/>
          <w:sz w:val="24"/>
          <w:szCs w:val="24"/>
          <w:lang w:val="en-US" w:eastAsia="zh-CN" w:bidi="ar-SA"/>
        </w:rPr>
        <w:t>：</w:t>
      </w:r>
    </w:p>
    <w:p w14:paraId="5FA1C906">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用途：采用靶向捕获技术和高通量测序平台，从DNA和RNA层面共检测不少于50个与子宫内膜癌诊疗、预后和发生发展相关基因，并提供MSI分析。为子宫内膜癌患者提供分子分型、靶向治疗、免疫治疗和遗传性肿瘤风险评估。</w:t>
      </w:r>
    </w:p>
    <w:p w14:paraId="60795AF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2.检测范围：检测不少于60个MS位点来评估MSI的状态，DNA检测的有效平均测序深度≥1000X</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RNA检测有效reads总数≥6M。从RNA层面检测不少于14个基因的融合变异结果，包括ALK、BRAF、EGFR、ERBB2、FGFR1、FGFR2、FGFR3、MET、NRG1、NTRK1、NTRK2、NTRK3、RET、ROS1等。</w:t>
      </w:r>
    </w:p>
    <w:p w14:paraId="1F21F15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3.须提供全套检测试剂，核酸提取试剂、测序反应通用试剂须获得医疗器械资质。(提供医疗器械注册证或备案凭证)</w:t>
      </w:r>
      <w:r>
        <w:rPr>
          <w:rFonts w:hint="eastAsia" w:ascii="Times New Roman" w:hAnsi="Times New Roman" w:cs="Times New Roman"/>
          <w:b w:val="0"/>
          <w:bCs w:val="0"/>
          <w:color w:val="auto"/>
          <w:sz w:val="24"/>
          <w:szCs w:val="24"/>
          <w:lang w:val="en-US" w:eastAsia="zh-CN"/>
        </w:rPr>
        <w:t>。</w:t>
      </w:r>
    </w:p>
    <w:p w14:paraId="79E4A983">
      <w:pPr>
        <w:pStyle w:val="31"/>
        <w:rPr>
          <w:rFonts w:hint="eastAsia"/>
          <w:lang w:val="en-US" w:eastAsia="zh-CN"/>
        </w:rPr>
      </w:pPr>
    </w:p>
    <w:p w14:paraId="1F4F8928">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序号5</w:t>
      </w:r>
    </w:p>
    <w:p w14:paraId="474DEDC6">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脑胶质瘤个体化诊疗基因检测：</w:t>
      </w:r>
    </w:p>
    <w:p w14:paraId="5A1D4EB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1.用途：涵盖指南及诊疗规范推荐的脑胶质瘤相关核心基因、染色体结构变异，以及MGMT甲基化检测功能，可用于患者的辅助分型、预后评估与用药指导。</w:t>
      </w:r>
    </w:p>
    <w:p w14:paraId="12DFFD2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2.须提供全套检测试剂，核酸提取试剂、测序反应通用试剂须获得医疗器械资质。(提供医疗器械注册证或备案凭证)。</w:t>
      </w:r>
    </w:p>
    <w:p w14:paraId="1556A3A2">
      <w:pPr>
        <w:pStyle w:val="31"/>
        <w:rPr>
          <w:rFonts w:hint="eastAsia"/>
          <w:lang w:val="en-US" w:eastAsia="zh-CN"/>
        </w:rPr>
      </w:pPr>
    </w:p>
    <w:p w14:paraId="445F75AF">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序号6</w:t>
      </w:r>
    </w:p>
    <w:p w14:paraId="433A551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BRCA1/2基因检测：</w:t>
      </w:r>
    </w:p>
    <w:p w14:paraId="1BEED24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1.用途：采用靶向捕获技术和高通量测序平台，检测BRCA1和BRCA2基因的全部外显子区域及其上下游20bp区域。为肿瘤患者提供靶向治疗和遗传性肿瘤风险评估。</w:t>
      </w:r>
    </w:p>
    <w:p w14:paraId="7120FC6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2.检测范围：测突变类型，单核苷酸变异SNV、小片段插入/缺失InDel、拷贝数变异CNV，有效平均测序深度≥200X。</w:t>
      </w:r>
    </w:p>
    <w:p w14:paraId="47C5F76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3.投标人或其母公司参与已经上市的PARP抑制剂中国注册药物临床试验的BRCA的检测(提供相关药物发表的文章)。</w:t>
      </w:r>
    </w:p>
    <w:p w14:paraId="610E4DF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4.须提供全套检测试剂，核酸提取试剂、测序反应通用试剂须获得医疗器械资质。(提供医疗器械注册证或备案凭证)</w:t>
      </w:r>
    </w:p>
    <w:p w14:paraId="589851A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5.适配：MGISEQ-2000/DNBSEQ-G99/Gene+Seq-100测序仪。</w:t>
      </w:r>
    </w:p>
    <w:p w14:paraId="39796013">
      <w:pPr>
        <w:pStyle w:val="31"/>
        <w:rPr>
          <w:rFonts w:hint="eastAsia"/>
          <w:lang w:val="en-US" w:eastAsia="zh-CN"/>
        </w:rPr>
      </w:pPr>
    </w:p>
    <w:p w14:paraId="34ECEC04">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序号7</w:t>
      </w:r>
    </w:p>
    <w:p w14:paraId="7DBC367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HRD评分：</w:t>
      </w:r>
    </w:p>
    <w:p w14:paraId="5FEB1B5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检测范围：检测患者肿瘤组织样本，在全基因组范围内通过三个指标：杂合性缺失(LOH)、端粒等位基因不平衡(TAI)、大片段迁移(LST)来评估同源重组缺陷状态，捕获检测位点数&gt;9万个。(提供公开发表的文章材料证明)</w:t>
      </w:r>
    </w:p>
    <w:p w14:paraId="088BDF6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2.质控要求：平均测序深度≥150X。</w:t>
      </w:r>
    </w:p>
    <w:p w14:paraId="234888C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3.须提供全套检测试剂，核酸提取试剂、测序反应通用试剂须获得医疗器械资质。(提供医疗器械注册证或备案凭证)</w:t>
      </w:r>
    </w:p>
    <w:p w14:paraId="266C432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4.适配：MGISEQ-2000/Gene+Seq-100测序仪。</w:t>
      </w:r>
    </w:p>
    <w:p w14:paraId="57B979DA">
      <w:pPr>
        <w:pStyle w:val="31"/>
        <w:rPr>
          <w:rFonts w:hint="eastAsia"/>
          <w:lang w:val="en-US" w:eastAsia="zh-CN"/>
        </w:rPr>
      </w:pPr>
    </w:p>
    <w:p w14:paraId="2DC25B74">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序号8</w:t>
      </w:r>
    </w:p>
    <w:p w14:paraId="08207AD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乳腺癌复发风险评估检测：</w:t>
      </w:r>
    </w:p>
    <w:p w14:paraId="1ED360D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1.用途：检测乳腺癌肿瘤组织中21个不同基因的表达水平，包含16个乳腺癌相关基因和5个内参基因。评估乳腺癌患者的术后复发风险及术后辅助化疗的有效性。</w:t>
      </w:r>
    </w:p>
    <w:p w14:paraId="035F291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2.检测技术：采用RT-PCR技术。</w:t>
      </w:r>
    </w:p>
    <w:p w14:paraId="32547DF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3.报告结果需包含复发风险评分(RS)及风险等级。(提供检测报告模板)。</w:t>
      </w:r>
    </w:p>
    <w:p w14:paraId="6A71685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4.须提供全套检测试剂，核酸提取试剂、测序反应通用试剂须获得医疗器械资质。(提供医疗器械注册证或备案凭证)。</w:t>
      </w:r>
    </w:p>
    <w:p w14:paraId="12D9E838">
      <w:pPr>
        <w:pStyle w:val="31"/>
        <w:rPr>
          <w:rFonts w:hint="eastAsia"/>
          <w:lang w:val="en-US" w:eastAsia="zh-CN"/>
        </w:rPr>
      </w:pPr>
    </w:p>
    <w:p w14:paraId="36302CD1">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序号9</w:t>
      </w:r>
    </w:p>
    <w:p w14:paraId="7C8E9F2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MRD检测：</w:t>
      </w:r>
    </w:p>
    <w:p w14:paraId="519529A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对肿瘤组织样本进行全外显子检测(WES)，再针对每个患者肿瘤组织的突变信息来进行个性化的panel定制；监测时通过定制化panel，对血浆样本进行超高深度测序，对实体瘤患者进行MRD评估、复发风险评估、预后预测以及治疗疗效评估。</w:t>
      </w:r>
    </w:p>
    <w:p w14:paraId="7AE41CA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2.检测方法：WES采用探针捕获+高通量测序技术。</w:t>
      </w:r>
    </w:p>
    <w:p w14:paraId="34B7170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ctDNA检测采用多重PCR+高通量测序技术，ctDNA检测的测序深度可达100000X。</w:t>
      </w:r>
    </w:p>
    <w:p w14:paraId="3A0D8D3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3.通过先对患者肿瘤组织进行WES检测，可为患者定制监测产品，追踪MRD。</w:t>
      </w:r>
    </w:p>
    <w:p w14:paraId="704E69D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4.须提供全套检测试剂，核酸提取试剂、测序反应通用试剂须获得医疗器械资质。(提供医疗器械注册证或备案凭证)。</w:t>
      </w:r>
    </w:p>
    <w:p w14:paraId="636FE09F">
      <w:pPr>
        <w:pStyle w:val="31"/>
        <w:rPr>
          <w:rFonts w:hint="eastAsia"/>
          <w:lang w:val="en-US" w:eastAsia="zh-CN"/>
        </w:rPr>
      </w:pPr>
    </w:p>
    <w:p w14:paraId="3EE01D93">
      <w:pPr>
        <w:spacing w:line="320" w:lineRule="exact"/>
        <w:ind w:left="479" w:leftChars="85" w:hanging="241" w:hangingChars="100"/>
        <w:jc w:val="left"/>
        <w:rPr>
          <w:rFonts w:hint="default"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序号10</w:t>
      </w:r>
    </w:p>
    <w:p w14:paraId="760F3BC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乳腺癌靶向用药基因检测：</w:t>
      </w:r>
    </w:p>
    <w:p w14:paraId="0CA5A92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采用靶向捕获技术和高通量测序平台，从DNA和RNA层面共检测不少于70个与乳腺癌诊疗、预后和发生发展相关基因，并提供微卫星不稳定性(MSI)分析。为乳腺癌患者提供靶向治疗、免疫治疗、化疗的用药指导和遗传性肿瘤风险评估。</w:t>
      </w:r>
    </w:p>
    <w:p w14:paraId="496D660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范围：检测不少于60个MS位点来评估MSI的状态，DNA检测的有效平均测序深度≥1000X；RNA检测有效reads总数≥6M。从RNA层面检测不少于13个基因的融合变异结果，包括ALK、BRAF、EGFR、ERBB2、ESR1、FGFR1、FGFR2、FGFR3、NTRK1、NTRK2、NTRK3、RET、ROS1等。</w:t>
      </w:r>
    </w:p>
    <w:p w14:paraId="601196D6">
      <w:pPr>
        <w:pStyle w:val="168"/>
        <w:widowControl/>
        <w:numPr>
          <w:ilvl w:val="0"/>
          <w:numId w:val="0"/>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eastAsia="宋体" w:cs="Times New Roman"/>
          <w:b w:val="0"/>
          <w:bCs w:val="0"/>
          <w:color w:val="auto"/>
          <w:kern w:val="2"/>
          <w:sz w:val="24"/>
          <w:szCs w:val="24"/>
          <w:lang w:val="en-US" w:eastAsia="zh-CN" w:bidi="ar-SA"/>
        </w:rPr>
        <w:t>3.</w:t>
      </w:r>
      <w:r>
        <w:rPr>
          <w:rFonts w:hint="eastAsia" w:ascii="Times New Roman" w:hAnsi="Times New Roman" w:cs="Times New Roman"/>
          <w:b w:val="0"/>
          <w:bCs w:val="0"/>
          <w:color w:val="auto"/>
          <w:sz w:val="24"/>
          <w:szCs w:val="24"/>
          <w:lang w:val="en-US" w:eastAsia="zh-CN"/>
        </w:rPr>
        <w:t>须提供全套检测试剂，核酸提取试剂、测序反应通用试剂须获得医疗器械资质。(提供医疗器械注册证或备案凭证)。</w:t>
      </w:r>
    </w:p>
    <w:p w14:paraId="3347F325">
      <w:pPr>
        <w:pStyle w:val="31"/>
        <w:numPr>
          <w:ilvl w:val="0"/>
          <w:numId w:val="0"/>
        </w:numPr>
        <w:rPr>
          <w:rFonts w:hint="eastAsia"/>
          <w:lang w:val="en-US" w:eastAsia="zh-CN"/>
        </w:rPr>
      </w:pPr>
    </w:p>
    <w:p w14:paraId="5926D43F">
      <w:pPr>
        <w:spacing w:line="320" w:lineRule="exact"/>
        <w:ind w:left="479" w:leftChars="85" w:hanging="241" w:hangingChars="100"/>
        <w:jc w:val="left"/>
        <w:rPr>
          <w:rFonts w:hint="default"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序号11</w:t>
      </w:r>
    </w:p>
    <w:p w14:paraId="4EB69AD2">
      <w:pPr>
        <w:pStyle w:val="168"/>
        <w:widowControl/>
        <w:numPr>
          <w:ilvl w:val="0"/>
          <w:numId w:val="0"/>
        </w:numPr>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遗传性肿瘤基因筛查:</w:t>
      </w:r>
    </w:p>
    <w:p w14:paraId="4C0675E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1.检测范围：可检测遗传性肿瘤基因数目不少于90个，遗传性肿瘤种类不少于25种，检测相关基因的全外显子及其上下游20bp区域。至少包含ALK，APC，ATM，AXIN2，BAP1，BARD1，BLM，BMPR1A，BRCA1，BRCA2等基因。</w:t>
      </w:r>
    </w:p>
    <w:p w14:paraId="5DEE219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2.质控要求：测序有效深度≥100X。</w:t>
      </w:r>
    </w:p>
    <w:p w14:paraId="3021BEF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3.须提供全套检测试剂，核酸提取试剂、测序反应通用试剂须获得医疗器械资质。(提供医疗器械注册证或备案凭证)。</w:t>
      </w:r>
    </w:p>
    <w:p w14:paraId="7E58608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4.适配MGISEQ-2000/DNBSEQ-G99/Gene+Seq-100测序仪。</w:t>
      </w:r>
    </w:p>
    <w:p w14:paraId="762BC20B">
      <w:pPr>
        <w:pStyle w:val="31"/>
        <w:rPr>
          <w:rFonts w:hint="eastAsia"/>
          <w:lang w:val="en-US" w:eastAsia="zh-CN"/>
        </w:rPr>
      </w:pPr>
    </w:p>
    <w:p w14:paraId="6159C5AC">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序号12</w:t>
      </w:r>
    </w:p>
    <w:p w14:paraId="35F54637">
      <w:pPr>
        <w:pStyle w:val="168"/>
        <w:widowControl/>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人EGFR基因突变检测试剂盒:</w:t>
      </w:r>
    </w:p>
    <w:p w14:paraId="59DA9EC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1.检测内容：用于定性检测非小细胞肺癌(NSCLC)患者外周血样本中EGFR基因变异的体外诊断试剂盒。</w:t>
      </w:r>
    </w:p>
    <w:p w14:paraId="148B522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2.用途：满足奥希替尼的伴随诊断检测；</w:t>
      </w:r>
    </w:p>
    <w:p w14:paraId="0554E47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3.检测范围：限可检测最低阈值为0.3%的突变；质控品：试剂盒包含质控品，分别为阳性质控品P及阴性质控品N。</w:t>
      </w:r>
    </w:p>
    <w:p w14:paraId="48FCCD06">
      <w:pPr>
        <w:pStyle w:val="168"/>
        <w:widowControl/>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4.配套试剂盒：须提供全套检测试剂，核酸提取试剂、测序反应通用试剂须获得医疗器械资质。(提供医疗器械注册证或备案凭证)。</w:t>
      </w:r>
    </w:p>
    <w:p w14:paraId="4BC480B8">
      <w:pPr>
        <w:pStyle w:val="31"/>
        <w:rPr>
          <w:rFonts w:hint="eastAsia"/>
          <w:lang w:val="en-US" w:eastAsia="zh-CN"/>
        </w:rPr>
      </w:pPr>
    </w:p>
    <w:p w14:paraId="123F753B">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序号13</w:t>
      </w:r>
    </w:p>
    <w:p w14:paraId="24E8E38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生殖道tNGS检测：</w:t>
      </w:r>
    </w:p>
    <w:p w14:paraId="05C7E0A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1.用途：用于女性下生殖道感染的病原学诊断，可同步检测细菌、真菌、病毒、寄生虫等多种病原体，辅助临床进行精准抗感染治疗及微生态评估。</w:t>
      </w:r>
    </w:p>
    <w:p w14:paraId="6DE9520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2.检测样本类型：适用于女性宫颈拭子、阴道分泌物等临床样本。</w:t>
      </w:r>
    </w:p>
    <w:p w14:paraId="2E11888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3.检测范围：覆盖≥50种生殖道相关病原体及阴道微生态核心菌群。</w:t>
      </w:r>
    </w:p>
    <w:p w14:paraId="5D829CF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4.方法学与平台：基于靶向高通量测序(tNGS)，兼容Illumina或华大DNBSEQ系列主流测序仪。</w:t>
      </w:r>
    </w:p>
    <w:p w14:paraId="75D3737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5.试剂须具备医疗器械注册证或备案凭证。</w:t>
      </w:r>
    </w:p>
    <w:p w14:paraId="1F2A4D72">
      <w:pPr>
        <w:pStyle w:val="31"/>
        <w:rPr>
          <w:rFonts w:hint="eastAsia"/>
          <w:lang w:val="en-US" w:eastAsia="zh-CN"/>
        </w:rPr>
      </w:pPr>
    </w:p>
    <w:p w14:paraId="4724F095">
      <w:pPr>
        <w:spacing w:line="320" w:lineRule="exact"/>
        <w:ind w:left="479" w:leftChars="85" w:hanging="241" w:hangingChars="100"/>
        <w:jc w:val="left"/>
        <w:rPr>
          <w:sz w:val="24"/>
          <w:szCs w:val="24"/>
        </w:rPr>
      </w:pPr>
      <w:r>
        <w:rPr>
          <w:rFonts w:hint="eastAsia" w:ascii="宋体" w:hAnsi="宋体" w:cs="宋体"/>
          <w:b/>
          <w:bCs/>
          <w:sz w:val="24"/>
          <w:szCs w:val="24"/>
        </w:rPr>
        <w:t>序号14</w:t>
      </w:r>
    </w:p>
    <w:p w14:paraId="587182EE">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tNGS检测：</w:t>
      </w:r>
    </w:p>
    <w:p w14:paraId="4E5BD78C">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1.检验原理：联合探针锚定聚合技术。</w:t>
      </w:r>
    </w:p>
    <w:p w14:paraId="1D1D293D">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2.检测范围：病原微生物宏基因组高通量基因检测分析涵盖&gt;35000种病原微生物，提供产品彩页、真实的临床检测报告(隐私机密信息可脱敏)。病原微生物宏基因组高通量基因检测&gt;30种耐药基因，&gt;280种毒力基因，提供</w:t>
      </w:r>
      <w:r>
        <w:rPr>
          <w:rFonts w:hint="eastAsia" w:ascii="Times New Roman" w:hAnsi="Times New Roman"/>
          <w:szCs w:val="24"/>
          <w:highlight w:val="none"/>
          <w:lang w:val="en-US" w:eastAsia="zh-CN"/>
        </w:rPr>
        <w:t>宣传</w:t>
      </w:r>
      <w:r>
        <w:rPr>
          <w:rFonts w:hint="eastAsia" w:ascii="Times New Roman" w:hAnsi="Times New Roman"/>
          <w:szCs w:val="24"/>
          <w:highlight w:val="none"/>
        </w:rPr>
        <w:t>材料。可鉴定肺炎支原体耐药位点，且肺炎支原体耐药基因23S rRNA检测位点数量≥4个，提供证明材料。</w:t>
      </w:r>
    </w:p>
    <w:p w14:paraId="5B244418">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3.病原微生物宏基因组检测具备样本本地化CNV分析功能，提供</w:t>
      </w:r>
      <w:r>
        <w:rPr>
          <w:rFonts w:hint="eastAsia" w:ascii="Times New Roman" w:hAnsi="Times New Roman"/>
          <w:szCs w:val="24"/>
          <w:highlight w:val="none"/>
          <w:lang w:val="en-US" w:eastAsia="zh-CN"/>
        </w:rPr>
        <w:t>宣传</w:t>
      </w:r>
      <w:r>
        <w:rPr>
          <w:rFonts w:hint="eastAsia" w:ascii="Times New Roman" w:hAnsi="Times New Roman"/>
          <w:szCs w:val="24"/>
          <w:highlight w:val="none"/>
        </w:rPr>
        <w:t>材料。</w:t>
      </w:r>
    </w:p>
    <w:p w14:paraId="2DABE56C">
      <w:pPr>
        <w:pStyle w:val="168"/>
        <w:widowControl/>
        <w:spacing w:line="400" w:lineRule="exact"/>
        <w:ind w:firstLine="480" w:firstLineChars="200"/>
        <w:rPr>
          <w:rFonts w:hint="eastAsia" w:ascii="Times New Roman" w:hAnsi="Times New Roman"/>
          <w:szCs w:val="24"/>
          <w:highlight w:val="none"/>
          <w:lang w:eastAsia="zh-CN"/>
        </w:rPr>
      </w:pPr>
      <w:r>
        <w:rPr>
          <w:rFonts w:hint="eastAsia" w:ascii="Times New Roman" w:hAnsi="Times New Roman"/>
          <w:szCs w:val="24"/>
          <w:highlight w:val="none"/>
        </w:rPr>
        <w:t>4.适配MGISEQ-2000/DNBSEQ-G99/Gene+Seq-100测序仪</w:t>
      </w:r>
      <w:r>
        <w:rPr>
          <w:rFonts w:hint="eastAsia" w:ascii="Times New Roman" w:hAnsi="Times New Roman"/>
          <w:szCs w:val="24"/>
          <w:highlight w:val="none"/>
          <w:lang w:eastAsia="zh-CN"/>
        </w:rPr>
        <w:t>。</w:t>
      </w:r>
    </w:p>
    <w:p w14:paraId="75196B1E">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lang w:val="en-US" w:eastAsia="zh-CN"/>
        </w:rPr>
        <w:t>5.</w:t>
      </w:r>
      <w:r>
        <w:rPr>
          <w:rFonts w:hint="eastAsia" w:ascii="Times New Roman" w:hAnsi="Times New Roman"/>
          <w:szCs w:val="24"/>
          <w:highlight w:val="none"/>
        </w:rPr>
        <w:t>试剂须具备医疗器械注册证或备案凭证。</w:t>
      </w:r>
    </w:p>
    <w:p w14:paraId="5646EDBD">
      <w:pPr>
        <w:pStyle w:val="31"/>
        <w:rPr>
          <w:highlight w:val="none"/>
        </w:rPr>
      </w:pPr>
    </w:p>
    <w:p w14:paraId="7DB61599">
      <w:pPr>
        <w:spacing w:line="320" w:lineRule="exact"/>
        <w:ind w:left="479" w:leftChars="85" w:hanging="241" w:hangingChars="100"/>
        <w:jc w:val="left"/>
        <w:rPr>
          <w:highlight w:val="none"/>
        </w:rPr>
      </w:pPr>
      <w:r>
        <w:rPr>
          <w:rFonts w:hint="eastAsia" w:ascii="宋体" w:hAnsi="宋体" w:cs="宋体"/>
          <w:b/>
          <w:bCs/>
          <w:sz w:val="24"/>
          <w:szCs w:val="24"/>
          <w:highlight w:val="none"/>
        </w:rPr>
        <w:t>序号15</w:t>
      </w:r>
    </w:p>
    <w:p w14:paraId="08EFA114">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mNGS(DNA/RNA)检测：</w:t>
      </w:r>
    </w:p>
    <w:p w14:paraId="1698A1C9">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1.检验原理：联合探针锚定聚合技术。</w:t>
      </w:r>
    </w:p>
    <w:p w14:paraId="41180418">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2.病原微生物靶向高通量检测基于超多重PCR技术，涵盖&gt;230种病原微生物，&gt;30种耐药基因，&gt;10种毒力基因。</w:t>
      </w:r>
    </w:p>
    <w:p w14:paraId="07C343F9">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3.病原微生物靶向高通量检测肺炎支原体耐药基因23S rRNA位点数量≥4个。</w:t>
      </w:r>
    </w:p>
    <w:p w14:paraId="52405209">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4.tngs和mNGS能混样检测，提供证明材料。</w:t>
      </w:r>
    </w:p>
    <w:p w14:paraId="6C9E80A0">
      <w:pPr>
        <w:pStyle w:val="168"/>
        <w:widowControl/>
        <w:spacing w:line="400" w:lineRule="exact"/>
        <w:ind w:firstLine="480" w:firstLineChars="200"/>
        <w:rPr>
          <w:rFonts w:hint="eastAsia" w:ascii="Times New Roman" w:hAnsi="Times New Roman"/>
          <w:szCs w:val="24"/>
          <w:highlight w:val="none"/>
          <w:lang w:eastAsia="zh-CN"/>
        </w:rPr>
      </w:pPr>
      <w:r>
        <w:rPr>
          <w:rFonts w:hint="eastAsia" w:ascii="Times New Roman" w:hAnsi="Times New Roman"/>
          <w:szCs w:val="24"/>
          <w:highlight w:val="none"/>
        </w:rPr>
        <w:t>5.适配MGISEQ-2000/DNBSEQ-G99/Gene+Seq-100测序仪</w:t>
      </w:r>
      <w:r>
        <w:rPr>
          <w:rFonts w:hint="eastAsia" w:ascii="Times New Roman" w:hAnsi="Times New Roman"/>
          <w:szCs w:val="24"/>
          <w:highlight w:val="none"/>
          <w:lang w:eastAsia="zh-CN"/>
        </w:rPr>
        <w:t>。</w:t>
      </w:r>
    </w:p>
    <w:p w14:paraId="50F9069D">
      <w:pPr>
        <w:pStyle w:val="168"/>
        <w:widowControl/>
        <w:spacing w:line="400" w:lineRule="exact"/>
        <w:ind w:firstLine="480" w:firstLineChars="200"/>
        <w:rPr>
          <w:rFonts w:ascii="Times New Roman" w:hAnsi="Times New Roman"/>
          <w:szCs w:val="24"/>
          <w:highlight w:val="none"/>
        </w:rPr>
      </w:pPr>
      <w:r>
        <w:rPr>
          <w:rFonts w:hint="eastAsia" w:ascii="Times New Roman" w:hAnsi="Times New Roman"/>
          <w:szCs w:val="24"/>
          <w:highlight w:val="none"/>
        </w:rPr>
        <w:t>6.试剂须具备医疗器械注册证或备案凭证。</w:t>
      </w:r>
    </w:p>
    <w:p w14:paraId="58994AD5">
      <w:pPr>
        <w:pStyle w:val="31"/>
        <w:rPr>
          <w:rFonts w:hint="eastAsia" w:ascii="Times New Roman" w:hAnsi="Times New Roman" w:cs="Times New Roman"/>
          <w:b w:val="0"/>
          <w:bCs w:val="0"/>
          <w:color w:val="auto"/>
          <w:sz w:val="24"/>
          <w:szCs w:val="24"/>
          <w:lang w:val="en-US" w:eastAsia="zh-CN"/>
        </w:rPr>
      </w:pPr>
    </w:p>
    <w:p w14:paraId="5C84C9A6">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序号16</w:t>
      </w:r>
    </w:p>
    <w:p w14:paraId="05E1292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肠道菌群检测：</w:t>
      </w:r>
    </w:p>
    <w:p w14:paraId="13211CF8">
      <w:pPr>
        <w:pStyle w:val="168"/>
        <w:widowControl/>
        <w:numPr>
          <w:ilvl w:val="0"/>
          <w:numId w:val="1"/>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用途：采用mNGS对肠道菌群进行检测，覆盖肠道主要优势菌与条件致病菌，并可分辨至属/种水平。</w:t>
      </w:r>
    </w:p>
    <w:p w14:paraId="69561C78">
      <w:pPr>
        <w:pStyle w:val="168"/>
        <w:widowControl/>
        <w:numPr>
          <w:ilvl w:val="0"/>
          <w:numId w:val="1"/>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试剂须具备医疗器械注册证或备案凭证。</w:t>
      </w:r>
    </w:p>
    <w:p w14:paraId="0B01757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w:t>
      </w:r>
      <w:bookmarkStart w:id="197" w:name="_GoBack"/>
      <w:bookmarkEnd w:id="197"/>
      <w:r>
        <w:rPr>
          <w:rFonts w:hint="eastAsia" w:ascii="Times New Roman" w:hAnsi="Times New Roman" w:cs="Times New Roman"/>
          <w:b w:val="0"/>
          <w:bCs w:val="0"/>
          <w:color w:val="auto"/>
          <w:sz w:val="24"/>
          <w:szCs w:val="24"/>
          <w:lang w:val="en-US" w:eastAsia="zh-CN"/>
        </w:rPr>
        <w:t>、提供配套的分析软件，软件支持华大/illumina平台测序数据的质控，注释，分类，并自动生成报告，报告对接到精准医学中心现有系统。</w:t>
      </w:r>
    </w:p>
    <w:p w14:paraId="59791808">
      <w:pPr>
        <w:pStyle w:val="31"/>
        <w:rPr>
          <w:rFonts w:hint="eastAsia" w:ascii="Times New Roman" w:hAnsi="Times New Roman" w:cs="Times New Roman"/>
          <w:b w:val="0"/>
          <w:bCs w:val="0"/>
          <w:color w:val="auto"/>
          <w:sz w:val="24"/>
          <w:szCs w:val="24"/>
          <w:lang w:val="en-US" w:eastAsia="zh-CN"/>
        </w:rPr>
      </w:pPr>
    </w:p>
    <w:p w14:paraId="7E3187DE">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序号17</w:t>
      </w:r>
    </w:p>
    <w:p w14:paraId="310A924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FMT：</w:t>
      </w:r>
    </w:p>
    <w:p w14:paraId="06F2243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1.用途：用于治疗因肠道菌群失调引起的疾病(如复发性或难治性艰难梭菌感染等)，通过移植健康供体的肠道菌群，重建患者肠道微生态平衡。</w:t>
      </w:r>
    </w:p>
    <w:p w14:paraId="3F07758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2.剂型与活性：提供肠菌菌液和冻干粉胶囊两种剂型；产品中活菌数量及活性需有第三方质检机构出具的检测证明。</w:t>
      </w:r>
    </w:p>
    <w:p w14:paraId="5E55E5C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3.生产环境：制备过程在二级生物安全防护实验室(P2实验室)中进行，且实验室空气洁净度需达到A+B级标准，并提供第三方检测证明。</w:t>
      </w:r>
    </w:p>
    <w:p w14:paraId="5648D81A">
      <w:pPr>
        <w:pStyle w:val="168"/>
        <w:widowControl/>
        <w:numPr>
          <w:ilvl w:val="0"/>
          <w:numId w:val="0"/>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eastAsia="宋体" w:cs="Times New Roman"/>
          <w:b w:val="0"/>
          <w:bCs w:val="0"/>
          <w:color w:val="auto"/>
          <w:kern w:val="2"/>
          <w:sz w:val="24"/>
          <w:szCs w:val="24"/>
          <w:lang w:val="en-US" w:eastAsia="zh-CN" w:bidi="ar-SA"/>
        </w:rPr>
        <w:t>4.</w:t>
      </w:r>
      <w:r>
        <w:rPr>
          <w:rFonts w:hint="eastAsia" w:ascii="Times New Roman" w:hAnsi="Times New Roman" w:cs="Times New Roman"/>
          <w:b w:val="0"/>
          <w:bCs w:val="0"/>
          <w:color w:val="auto"/>
          <w:sz w:val="24"/>
          <w:szCs w:val="24"/>
          <w:lang w:val="en-US" w:eastAsia="zh-CN"/>
        </w:rPr>
        <w:t>具备符合国内临床指南规定的菌群制剂制备管理体系。</w:t>
      </w:r>
    </w:p>
    <w:p w14:paraId="6CB6BD5C">
      <w:pPr>
        <w:pStyle w:val="168"/>
        <w:widowControl/>
        <w:numPr>
          <w:ilvl w:val="0"/>
          <w:numId w:val="0"/>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eastAsia="宋体" w:cs="Times New Roman"/>
          <w:b w:val="0"/>
          <w:bCs w:val="0"/>
          <w:color w:val="auto"/>
          <w:kern w:val="2"/>
          <w:sz w:val="24"/>
          <w:szCs w:val="24"/>
          <w:lang w:val="en-US" w:eastAsia="zh-CN" w:bidi="ar-SA"/>
        </w:rPr>
        <w:t>5.</w:t>
      </w:r>
      <w:r>
        <w:rPr>
          <w:rFonts w:hint="eastAsia" w:ascii="Times New Roman" w:hAnsi="Times New Roman" w:cs="Times New Roman"/>
          <w:b w:val="0"/>
          <w:bCs w:val="0"/>
          <w:color w:val="auto"/>
          <w:sz w:val="24"/>
          <w:szCs w:val="24"/>
          <w:lang w:val="en-US" w:eastAsia="zh-CN"/>
        </w:rPr>
        <w:t>试剂须具备医疗器械注册证或备案凭证。</w:t>
      </w:r>
    </w:p>
    <w:p w14:paraId="764ABD7B">
      <w:pPr>
        <w:pStyle w:val="31"/>
        <w:numPr>
          <w:numId w:val="0"/>
        </w:numPr>
        <w:rPr>
          <w:rFonts w:hint="eastAsia"/>
          <w:lang w:val="en-US" w:eastAsia="zh-CN"/>
        </w:rPr>
      </w:pPr>
    </w:p>
    <w:p w14:paraId="1E4B1DD8">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序号18</w:t>
      </w:r>
    </w:p>
    <w:p w14:paraId="4CEF1E2E">
      <w:pPr>
        <w:pStyle w:val="168"/>
        <w:widowControl/>
        <w:numPr>
          <w:ilvl w:val="0"/>
          <w:numId w:val="0"/>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菌群代谢物检测：</w:t>
      </w:r>
    </w:p>
    <w:p w14:paraId="386552F2">
      <w:pPr>
        <w:pStyle w:val="168"/>
        <w:widowControl/>
        <w:numPr>
          <w:ilvl w:val="0"/>
          <w:numId w:val="0"/>
        </w:numPr>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1、用途/检测范围：采用液相色谱质谱联用LC-MS/MS仪器平台对血清进行肠道菌群相关代谢产物进行定量检测分析，覆盖菌群主要代谢产物短链脂肪酸，氨基酸，有机酸，胆汁酸等。</w:t>
      </w:r>
    </w:p>
    <w:p w14:paraId="59103F9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2、样本类型：血清。</w:t>
      </w:r>
    </w:p>
    <w:p w14:paraId="7CEBA4C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3、试剂须具备医疗器械注册证或备案凭证</w:t>
      </w:r>
    </w:p>
    <w:p w14:paraId="7B00AF6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4、提供配套的分析软件，软件支持Waters，ABSciex质谱平台检测数据的定性定量分析，并自动生成报告对接到精准医学中心现有系统。</w:t>
      </w:r>
    </w:p>
    <w:p w14:paraId="0911FC08">
      <w:pPr>
        <w:pStyle w:val="31"/>
        <w:rPr>
          <w:rFonts w:hint="eastAsia" w:ascii="Times New Roman" w:hAnsi="Times New Roman" w:cs="Times New Roman"/>
          <w:b w:val="0"/>
          <w:bCs w:val="0"/>
          <w:color w:val="auto"/>
          <w:sz w:val="24"/>
          <w:szCs w:val="24"/>
          <w:lang w:val="en-US" w:eastAsia="zh-CN"/>
        </w:rPr>
      </w:pPr>
    </w:p>
    <w:p w14:paraId="5F4D7DAA">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序号19</w:t>
      </w:r>
    </w:p>
    <w:p w14:paraId="2889279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肺癌甲基化检测(肿瘤早检)：</w:t>
      </w:r>
    </w:p>
    <w:p w14:paraId="1521771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1、样本类型：全血；</w:t>
      </w:r>
    </w:p>
    <w:p w14:paraId="6B811A9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460DA12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3、检测灵敏度为85%以上，检测特异性为95%以上，肺癌一期的检出率为85%以上，最低检测下限为0.1pg/u1；</w:t>
      </w:r>
    </w:p>
    <w:p w14:paraId="0ADE6AC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4、实验方法：PCR-荧光探针法；</w:t>
      </w:r>
    </w:p>
    <w:p w14:paraId="5744147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5、适用仪器：ABI7500。</w:t>
      </w:r>
    </w:p>
    <w:p w14:paraId="78CD58A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73FBCBCA">
      <w:pPr>
        <w:pStyle w:val="31"/>
        <w:rPr>
          <w:rFonts w:hint="eastAsia"/>
          <w:lang w:val="en-US" w:eastAsia="zh-CN"/>
        </w:rPr>
      </w:pPr>
    </w:p>
    <w:p w14:paraId="74735F4D">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序号20</w:t>
      </w:r>
    </w:p>
    <w:p w14:paraId="66E6D12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结直肠癌甲基化检测(肿瘤早检)：</w:t>
      </w:r>
    </w:p>
    <w:p w14:paraId="5A6DBD3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1、样本类型：全血。</w:t>
      </w:r>
    </w:p>
    <w:p w14:paraId="606AD81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023DF0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3、检测灵敏度为80%以上，检测特异性为92%以上，肠癌一期的检出率为75%以上，最低检测下限为0.04pg/ul。</w:t>
      </w:r>
    </w:p>
    <w:p w14:paraId="70F038B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4、实验方法：PCR-荧光探针法。</w:t>
      </w:r>
    </w:p>
    <w:p w14:paraId="259326D6">
      <w:pPr>
        <w:pStyle w:val="168"/>
        <w:widowControl/>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5、试剂须具备医疗器械注册证或备案凭证。</w:t>
      </w:r>
    </w:p>
    <w:p w14:paraId="4F6CD821">
      <w:pPr>
        <w:pStyle w:val="31"/>
        <w:rPr>
          <w:rFonts w:hint="eastAsia"/>
          <w:lang w:val="en-US" w:eastAsia="zh-CN"/>
        </w:rPr>
      </w:pPr>
    </w:p>
    <w:p w14:paraId="01CE0CE6">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序号21</w:t>
      </w:r>
    </w:p>
    <w:p w14:paraId="706437C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食管癌甲基化检测(肿瘤早检)：</w:t>
      </w:r>
    </w:p>
    <w:p w14:paraId="06A0945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1、样本类型：血浆。</w:t>
      </w:r>
    </w:p>
    <w:p w14:paraId="26E3C1D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0C5A91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3、检测灵敏度为80%以上，检测特异性为90%以上，食管癌一期的检出率为75%以上，食管癌二期的检出率为80%以上，食管癌三期的检出率为85%以上，食管癌四期的检出率为90%以上。</w:t>
      </w:r>
    </w:p>
    <w:p w14:paraId="7EB34DD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4、最低检测下限：在0.05ng/μL、0.02ng/μL和0.01ng/μL血浆游离DNA浓度下，试剂盒检测P值为阳性的检测限分别为0.06%、0.15%和0.30%的三基因甲基化，约为18个拷贝。</w:t>
      </w:r>
    </w:p>
    <w:p w14:paraId="65B4EC1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5、实验方法：PCR-荧光探针法。</w:t>
      </w:r>
    </w:p>
    <w:p w14:paraId="695C7DD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6、适用仪器：ABI7500。</w:t>
      </w:r>
    </w:p>
    <w:p w14:paraId="64CB96F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7、试剂须具备医疗器械注册证或备案凭证。</w:t>
      </w:r>
    </w:p>
    <w:p w14:paraId="7E1039D0">
      <w:pPr>
        <w:pStyle w:val="31"/>
        <w:rPr>
          <w:rFonts w:hint="eastAsia"/>
          <w:lang w:val="en-US" w:eastAsia="zh-CN"/>
        </w:rPr>
      </w:pPr>
    </w:p>
    <w:p w14:paraId="461F3E01">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序号22</w:t>
      </w:r>
    </w:p>
    <w:p w14:paraId="0F89B50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胃癌甲基化检测(肿瘤早检)：</w:t>
      </w:r>
    </w:p>
    <w:p w14:paraId="2B0611F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1、样本类型：全血。</w:t>
      </w:r>
    </w:p>
    <w:p w14:paraId="2E0021F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9F18F3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3、检测灵敏度为80%以上，检测特异性为92%以上，最低检测下限为18个拷贝。</w:t>
      </w:r>
    </w:p>
    <w:p w14:paraId="24CD541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4、实验方法：PCR-荧光探针法。</w:t>
      </w:r>
    </w:p>
    <w:p w14:paraId="488CBD4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5、适用仪器：ABI7500。</w:t>
      </w:r>
    </w:p>
    <w:p w14:paraId="2F7C36D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5F2A6FD6">
      <w:pPr>
        <w:pStyle w:val="31"/>
        <w:rPr>
          <w:rFonts w:hint="eastAsia"/>
          <w:lang w:val="en-US" w:eastAsia="zh-CN"/>
        </w:rPr>
      </w:pPr>
    </w:p>
    <w:p w14:paraId="5C6D3098">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序号23</w:t>
      </w:r>
    </w:p>
    <w:p w14:paraId="61AC868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肝癌甲基化检测(肿瘤早检)：</w:t>
      </w:r>
    </w:p>
    <w:p w14:paraId="4EED4BF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1、样本类型：血浆。</w:t>
      </w:r>
    </w:p>
    <w:p w14:paraId="55D8440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EBAFCF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3、检测灵敏度为92%以上，检测特异性为92%以上，I期肝癌灵敏度为93%，精密度CV%≤5%。</w:t>
      </w:r>
    </w:p>
    <w:p w14:paraId="4F9F215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4、结果判读：P值判读法。</w:t>
      </w:r>
    </w:p>
    <w:p w14:paraId="3C7BE7C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5、实验方法：PCR-荧光探针法。</w:t>
      </w:r>
    </w:p>
    <w:p w14:paraId="1470F74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6、适用仪器：ABI7500。</w:t>
      </w:r>
    </w:p>
    <w:p w14:paraId="1AEF172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7、试剂须具备医疗器械注册证或备案凭证。</w:t>
      </w:r>
    </w:p>
    <w:p w14:paraId="223CA98C">
      <w:pPr>
        <w:pStyle w:val="31"/>
        <w:rPr>
          <w:rFonts w:hint="eastAsia"/>
          <w:lang w:val="en-US" w:eastAsia="zh-CN"/>
        </w:rPr>
      </w:pPr>
    </w:p>
    <w:p w14:paraId="12A557E5">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序号24</w:t>
      </w:r>
    </w:p>
    <w:p w14:paraId="347898B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尿路上皮癌基因检测(肿瘤早检)：</w:t>
      </w:r>
    </w:p>
    <w:p w14:paraId="79ECC6C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1、样本类型：尿液。</w:t>
      </w:r>
    </w:p>
    <w:p w14:paraId="2B2704C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6E765B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3、检测灵敏度为85%以上，检测特异性为92%以上，检测准确度为90%以上。</w:t>
      </w:r>
    </w:p>
    <w:p w14:paraId="521226C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4、实验方法：荧光PCR法。</w:t>
      </w:r>
    </w:p>
    <w:p w14:paraId="0D21919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5、适用仪器：ABI7500。</w:t>
      </w:r>
    </w:p>
    <w:p w14:paraId="47D5215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558C9E7C">
      <w:pPr>
        <w:pStyle w:val="31"/>
        <w:rPr>
          <w:rFonts w:hint="default"/>
          <w:lang w:val="en-US" w:eastAsia="zh-CN"/>
        </w:rPr>
      </w:pPr>
    </w:p>
    <w:p w14:paraId="4FA8C646">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序号25</w:t>
      </w:r>
    </w:p>
    <w:p w14:paraId="13DAAEC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宫颈癌甲基化检测(肿瘤早检)：</w:t>
      </w:r>
    </w:p>
    <w:p w14:paraId="0E19598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1、样本类型：宫颈脱落细胞DNA。</w:t>
      </w:r>
    </w:p>
    <w:p w14:paraId="42BF76E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774F0BD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3、检测宫颈癌灵敏度为89%以上，检测特异性为90%以上。</w:t>
      </w:r>
    </w:p>
    <w:p w14:paraId="67336DD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4、判读方式：采用△Ct值进行判读。</w:t>
      </w:r>
    </w:p>
    <w:p w14:paraId="402A698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5、实验方法：PCR-荧光探针法。</w:t>
      </w:r>
    </w:p>
    <w:p w14:paraId="01142DB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6、适用仪器：ABI7500。</w:t>
      </w:r>
    </w:p>
    <w:p w14:paraId="31CBFD1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7、至少包括PAX1基因。</w:t>
      </w:r>
    </w:p>
    <w:p w14:paraId="113381E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8、试剂须具备医疗器械注册证或备案凭证。</w:t>
      </w:r>
    </w:p>
    <w:p w14:paraId="2CF2FAB3">
      <w:pPr>
        <w:pStyle w:val="31"/>
        <w:rPr>
          <w:rFonts w:hint="eastAsia"/>
          <w:lang w:val="en-US" w:eastAsia="zh-CN"/>
        </w:rPr>
      </w:pPr>
    </w:p>
    <w:p w14:paraId="5E2C88A3">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序号26</w:t>
      </w:r>
    </w:p>
    <w:p w14:paraId="11DDB8B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子宫内膜癌甲基化检测(肿瘤早检)：</w:t>
      </w:r>
    </w:p>
    <w:p w14:paraId="05B014F7">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1、样本类型：宫颈脱落细胞。</w:t>
      </w:r>
    </w:p>
    <w:p w14:paraId="3721B77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3E0E2AD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3、在内膜癌中检测灵敏度和特异性均高于94%；在EIN/AH中的检测灵敏度和特异性均高于83%。</w:t>
      </w:r>
    </w:p>
    <w:p w14:paraId="625620F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4、实验方法：PCR-荧光探针法。</w:t>
      </w:r>
    </w:p>
    <w:p w14:paraId="5A81DA3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5、判读方式：采用△Ct值进行判读。</w:t>
      </w:r>
    </w:p>
    <w:p w14:paraId="7766ED3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6、适用仪器：ABI7500。</w:t>
      </w:r>
    </w:p>
    <w:p w14:paraId="71001BB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7、试剂须具备医疗器械注册证或备案凭证。</w:t>
      </w:r>
    </w:p>
    <w:p w14:paraId="55BD28F9">
      <w:pPr>
        <w:pStyle w:val="31"/>
        <w:rPr>
          <w:rFonts w:hint="eastAsia"/>
          <w:lang w:val="en-US" w:eastAsia="zh-CN"/>
        </w:rPr>
      </w:pPr>
    </w:p>
    <w:p w14:paraId="1E515235">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序号27</w:t>
      </w:r>
    </w:p>
    <w:p w14:paraId="0202700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卵巢癌甲基化检测(肿瘤早检)：</w:t>
      </w:r>
    </w:p>
    <w:p w14:paraId="744E8B1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1、样本类型：血浆游离DNA。</w:t>
      </w:r>
    </w:p>
    <w:p w14:paraId="04056C4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2、基于甲基化检测。</w:t>
      </w:r>
    </w:p>
    <w:p w14:paraId="60F438D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3、针对卵巢癌病例临床灵敏度为92%；针对非卵巢癌或交界性肿瘤病例临床特异性为97%及以上。</w:t>
      </w:r>
    </w:p>
    <w:p w14:paraId="12B53B9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4、实验方法：PCR-荧光探针法。</w:t>
      </w:r>
    </w:p>
    <w:p w14:paraId="58C9F98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5、适用仪器：ABI7500。</w:t>
      </w:r>
    </w:p>
    <w:p w14:paraId="00EECEA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2031A6D8">
      <w:pPr>
        <w:pStyle w:val="31"/>
        <w:rPr>
          <w:rFonts w:hint="eastAsia"/>
          <w:lang w:val="en-US" w:eastAsia="zh-CN"/>
        </w:rPr>
      </w:pPr>
    </w:p>
    <w:p w14:paraId="021D5BFE">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序号28</w:t>
      </w:r>
    </w:p>
    <w:p w14:paraId="2C0A70F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人类MGMT基因甲基化检测试剂盒：</w:t>
      </w:r>
    </w:p>
    <w:p w14:paraId="50041642">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(荧光PCR法)</w:t>
      </w:r>
    </w:p>
    <w:p w14:paraId="7E8B7083">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1、样本类型：石蜡切片。</w:t>
      </w:r>
    </w:p>
    <w:p w14:paraId="751559B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2、检测基因：包含但不限于MGMT启动子区甲基化7个位点。</w:t>
      </w:r>
    </w:p>
    <w:p w14:paraId="00E392D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3、具有内参基因β-actin内标。</w:t>
      </w:r>
    </w:p>
    <w:p w14:paraId="66D34E3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4、实验方法：荧光PCR法。</w:t>
      </w:r>
    </w:p>
    <w:p w14:paraId="300DF86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5、通量：基因甲基化检测具有更高的一次性检测通量(94样本/96孔板)。</w:t>
      </w:r>
    </w:p>
    <w:p w14:paraId="0A77EE2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378EB1A9">
      <w:pPr>
        <w:pStyle w:val="31"/>
        <w:rPr>
          <w:rFonts w:hint="eastAsia"/>
          <w:lang w:val="en-US" w:eastAsia="zh-CN"/>
        </w:rPr>
      </w:pPr>
    </w:p>
    <w:p w14:paraId="1C913243">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序号29</w:t>
      </w:r>
    </w:p>
    <w:p w14:paraId="616CD82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ctDNA甲基化检测+影像学AI分析联合诊断肺结节良恶性：</w:t>
      </w:r>
    </w:p>
    <w:p w14:paraId="4CB8E66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1、对血液ctDNA甲基化位点进行检测及通过CT影像学人工智能技术对5-30mm的肺结节患者进行联合分析，用于肺结节良恶性风险级别辅助诊断。</w:t>
      </w:r>
    </w:p>
    <w:p w14:paraId="389E30D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2、样本类型：外周血。</w:t>
      </w:r>
    </w:p>
    <w:p w14:paraId="546E038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3、检测内容：ctDNA甲基化检测+肺结节CT影像AI分析；</w:t>
      </w:r>
    </w:p>
    <w:p w14:paraId="47A86E2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4、性能：准确率≥95%，敏感性≥95%，特异性≥90%。</w:t>
      </w:r>
    </w:p>
    <w:p w14:paraId="39E02BF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5、实验方法：高通量测序+CT影像学联合分析。</w:t>
      </w:r>
    </w:p>
    <w:p w14:paraId="6F2978C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6、试剂须具备医疗器械注册证或备案凭证。</w:t>
      </w:r>
    </w:p>
    <w:p w14:paraId="5F90AA64">
      <w:pPr>
        <w:pStyle w:val="31"/>
        <w:rPr>
          <w:rFonts w:hint="eastAsia"/>
          <w:lang w:val="en-US" w:eastAsia="zh-CN"/>
        </w:rPr>
      </w:pPr>
    </w:p>
    <w:p w14:paraId="7F466A12">
      <w:pPr>
        <w:spacing w:line="320" w:lineRule="exact"/>
        <w:ind w:left="479" w:leftChars="85" w:hanging="241" w:hangingChars="100"/>
        <w:jc w:val="left"/>
        <w:rPr>
          <w:rFonts w:hint="default"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序号30</w:t>
      </w:r>
    </w:p>
    <w:p w14:paraId="4397B60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消化系统五癌基因甲基化检测(肿瘤早检)：</w:t>
      </w:r>
    </w:p>
    <w:p w14:paraId="5BA544F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1、检测原理：定性检测cfDNA甲基化水平。</w:t>
      </w:r>
    </w:p>
    <w:p w14:paraId="4B69B3B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2、检测目的：用于对结直肠癌、胃癌、肝癌、食管癌、胰腺癌的早期筛查和辅助诊断。</w:t>
      </w:r>
    </w:p>
    <w:p w14:paraId="5A1AB03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3、样本类型：血液</w:t>
      </w:r>
    </w:p>
    <w:p w14:paraId="6268E78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4、检测平台：荧光PCR</w:t>
      </w:r>
    </w:p>
    <w:p w14:paraId="294329A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5、检测性能：整体灵敏度&gt;85%，特异性均大于90%，部位溯源准确性&gt;90%。</w:t>
      </w:r>
    </w:p>
    <w:p w14:paraId="019329F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6、配合科室进行报告定制化修改。</w:t>
      </w:r>
    </w:p>
    <w:p w14:paraId="01EC6AF8">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7、试剂须具备医疗器械注册证或备案凭证。</w:t>
      </w:r>
    </w:p>
    <w:p w14:paraId="5A93390F">
      <w:pPr>
        <w:pStyle w:val="31"/>
        <w:rPr>
          <w:rFonts w:hint="eastAsia"/>
          <w:lang w:val="en-US" w:eastAsia="zh-CN"/>
        </w:rPr>
      </w:pPr>
    </w:p>
    <w:p w14:paraId="4D57B096">
      <w:pPr>
        <w:spacing w:line="320" w:lineRule="exact"/>
        <w:ind w:left="479" w:leftChars="85" w:hanging="241" w:hangingChars="100"/>
        <w:jc w:val="left"/>
        <w:rPr>
          <w:rFonts w:hint="eastAsia" w:ascii="Times New Roman" w:hAnsi="Times New Roman" w:cs="Times New Roman"/>
          <w:b w:val="0"/>
          <w:bCs w:val="0"/>
          <w:color w:val="auto"/>
          <w:sz w:val="24"/>
          <w:szCs w:val="24"/>
          <w:lang w:val="en-US" w:eastAsia="zh-CN"/>
        </w:rPr>
      </w:pPr>
      <w:r>
        <w:rPr>
          <w:rFonts w:hint="eastAsia" w:ascii="宋体" w:hAnsi="宋体" w:cs="宋体"/>
          <w:b/>
          <w:bCs/>
          <w:color w:val="auto"/>
          <w:sz w:val="24"/>
          <w:szCs w:val="24"/>
          <w:lang w:val="en-US" w:eastAsia="zh-CN"/>
        </w:rPr>
        <w:t>序号31</w:t>
      </w:r>
    </w:p>
    <w:p w14:paraId="2A2A960A">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质谱流式试剂：</w:t>
      </w:r>
    </w:p>
    <w:p w14:paraId="0D64A3E9">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1、用途：用于匹配质谱流式细胞仪的人源样本的检测。</w:t>
      </w:r>
    </w:p>
    <w:p w14:paraId="79EBCBF5">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2、样本类型：人源外周血样本，人源组织样本。</w:t>
      </w:r>
    </w:p>
    <w:p w14:paraId="3DCF6B9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3、试剂须具备医疗器械注册证或备案凭证。</w:t>
      </w:r>
    </w:p>
    <w:p w14:paraId="64A6C526">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4、试剂需满足流式细胞术侧向散射光的检测的组合要求，需提供说明书、专利等证明材料。</w:t>
      </w:r>
    </w:p>
    <w:p w14:paraId="1426AB7F">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5、可定制化Panel设计、联合方法开发，以及按要求进行套装生产、包装及配送。</w:t>
      </w:r>
    </w:p>
    <w:p w14:paraId="5F46AD88">
      <w:pPr>
        <w:pStyle w:val="31"/>
        <w:rPr>
          <w:rFonts w:hint="eastAsia"/>
          <w:lang w:val="en-US" w:eastAsia="zh-CN"/>
        </w:rPr>
      </w:pPr>
    </w:p>
    <w:p w14:paraId="7599312A">
      <w:pPr>
        <w:spacing w:line="320" w:lineRule="exact"/>
        <w:ind w:left="479" w:leftChars="85" w:hanging="241" w:hangingChars="100"/>
        <w:jc w:val="left"/>
        <w:rPr>
          <w:rFonts w:hint="eastAsia"/>
          <w:lang w:val="en-US" w:eastAsia="zh-CN"/>
        </w:rPr>
      </w:pPr>
      <w:r>
        <w:rPr>
          <w:rFonts w:hint="eastAsia" w:ascii="宋体" w:hAnsi="宋体" w:cs="宋体"/>
          <w:b/>
          <w:bCs/>
          <w:color w:val="auto"/>
          <w:sz w:val="24"/>
          <w:szCs w:val="24"/>
          <w:lang w:val="en-US" w:eastAsia="zh-CN"/>
        </w:rPr>
        <w:t>序号32</w:t>
      </w:r>
    </w:p>
    <w:p w14:paraId="7FFC73B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萎缩性胃炎2项：</w:t>
      </w:r>
    </w:p>
    <w:p w14:paraId="0B702091">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1、检测内容：抗内因子抗体、抗胃壁细胞IgG抗体</w:t>
      </w:r>
    </w:p>
    <w:p w14:paraId="4082330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2、样本类型：外周血。</w:t>
      </w:r>
    </w:p>
    <w:p w14:paraId="044D204D">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3、方法学：化学发光法。</w:t>
      </w:r>
    </w:p>
    <w:p w14:paraId="20CA6344">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4、试剂须具备医疗器械注册证或备案凭证。</w:t>
      </w:r>
    </w:p>
    <w:p w14:paraId="4642B844">
      <w:pPr>
        <w:pStyle w:val="31"/>
        <w:rPr>
          <w:rFonts w:hint="eastAsia"/>
          <w:lang w:val="en-US" w:eastAsia="zh-CN"/>
        </w:rPr>
      </w:pPr>
    </w:p>
    <w:p w14:paraId="3C97412E">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注：1.以上试剂主要用于重医附二院精准医学中心院外项目开展；</w:t>
      </w:r>
    </w:p>
    <w:p w14:paraId="786F287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2.投标人须同时提供以下相关服务内容包括但不限于：检测试剂与耗材供应、院外招投标支持、协助合同签订、市场维护、项目结算、物流配送、收样服务、信息系统对接、报告发放及结果解读支持等；</w:t>
      </w:r>
    </w:p>
    <w:p w14:paraId="708C3D0B">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3.具有专业的驻地临床服务团队,须派驻不少于2名管理人员和4名院外临床推广员，人员名单报医院备案，后期根据业务量动态调整（推广人员须具备医学、检验或生物相关专业背景）；</w:t>
      </w:r>
    </w:p>
    <w:p w14:paraId="02A1C6EC">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4.投标人有稳定可靠的冷链物流合作方，保证样本（尤其是血液和新鲜组织样本）运输（必须提供冷链物流公司资质及合作协议等证明材料复印件）。所有样本耗材的运送必须符合相关管理要求。</w:t>
      </w:r>
    </w:p>
    <w:p w14:paraId="4AA913E0">
      <w:pPr>
        <w:pStyle w:val="168"/>
        <w:widowControl/>
        <w:spacing w:line="400" w:lineRule="exact"/>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5.标准品、质控、样本复测、实验失误等试剂耗材的损耗均由中选人承担；</w:t>
      </w:r>
    </w:p>
    <w:p w14:paraId="6BD57247">
      <w:pPr>
        <w:pStyle w:val="168"/>
        <w:widowControl/>
        <w:spacing w:line="400" w:lineRule="exact"/>
        <w:ind w:firstLine="480" w:firstLineChars="200"/>
        <w:rPr>
          <w:rFonts w:hint="default"/>
          <w:lang w:val="en-US" w:eastAsia="zh-CN"/>
        </w:rPr>
      </w:pPr>
      <w:r>
        <w:rPr>
          <w:rFonts w:hint="eastAsia" w:ascii="Times New Roman" w:hAnsi="Times New Roman" w:cs="Times New Roman"/>
          <w:b w:val="0"/>
          <w:bCs w:val="0"/>
          <w:color w:val="auto"/>
          <w:sz w:val="24"/>
          <w:szCs w:val="24"/>
          <w:lang w:val="en-US" w:eastAsia="zh-CN"/>
        </w:rPr>
        <w:t>6.若因临床需求未达预期，造成的试剂过期滞存等试剂耗材损失由中选人承担。</w:t>
      </w:r>
    </w:p>
    <w:p w14:paraId="17C09448">
      <w:pPr>
        <w:pStyle w:val="2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7794"/>
      <w:bookmarkStart w:id="68" w:name="_Toc17524"/>
      <w:bookmarkStart w:id="69" w:name="_Toc2072"/>
      <w:bookmarkStart w:id="70" w:name="_Toc4791"/>
      <w:bookmarkStart w:id="71" w:name="_Toc24122"/>
      <w:bookmarkStart w:id="72" w:name="_Toc76373878"/>
      <w:bookmarkStart w:id="73" w:name="_Toc15650"/>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9836"/>
      <w:bookmarkStart w:id="79" w:name="_Toc22561"/>
      <w:bookmarkStart w:id="80" w:name="_Toc5959"/>
      <w:bookmarkStart w:id="81" w:name="_Toc9339"/>
      <w:bookmarkStart w:id="82" w:name="_Toc76373879"/>
      <w:bookmarkStart w:id="83" w:name="_Toc1431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27893"/>
      <w:bookmarkStart w:id="89" w:name="_Toc20772"/>
      <w:bookmarkStart w:id="90" w:name="_Toc76373885"/>
      <w:bookmarkStart w:id="91" w:name="_Toc12384"/>
      <w:bookmarkStart w:id="92" w:name="_Toc2258"/>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8189"/>
      <w:bookmarkStart w:id="96" w:name="_Toc23699"/>
      <w:bookmarkStart w:id="97" w:name="_Toc11052"/>
      <w:bookmarkStart w:id="98" w:name="_Toc76373886"/>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31293"/>
      <w:bookmarkStart w:id="103" w:name="_Toc76373887"/>
      <w:bookmarkStart w:id="104" w:name="_Toc5535"/>
      <w:bookmarkStart w:id="105" w:name="_Toc26754"/>
      <w:bookmarkStart w:id="106" w:name="_Toc19809"/>
      <w:bookmarkStart w:id="107" w:name="_Toc1358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1F7AF3FE">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依据</w:t>
      </w:r>
      <w:r>
        <w:rPr>
          <w:rFonts w:hint="eastAsia" w:ascii="宋体" w:hAnsi="宋体" w:cs="宋体"/>
          <w:color w:val="auto"/>
          <w:kern w:val="0"/>
          <w:sz w:val="24"/>
          <w:szCs w:val="24"/>
          <w:lang w:val="en-US" w:eastAsia="zh-CN"/>
        </w:rPr>
        <w:t>通过评审的</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30068"/>
      <w:bookmarkStart w:id="110" w:name="_Toc5251"/>
      <w:bookmarkStart w:id="111" w:name="_Toc8546"/>
      <w:bookmarkStart w:id="112" w:name="_Toc2900"/>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20034"/>
      <w:bookmarkStart w:id="118" w:name="_Toc76373890"/>
      <w:bookmarkStart w:id="119" w:name="_Toc26071"/>
      <w:bookmarkStart w:id="120" w:name="_Toc27443"/>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10864"/>
      <w:bookmarkStart w:id="125" w:name="_Toc76373891"/>
      <w:bookmarkStart w:id="126" w:name="_Toc27646"/>
      <w:bookmarkStart w:id="127" w:name="_Toc25199"/>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20762"/>
      <w:bookmarkStart w:id="137" w:name="_Toc24088"/>
      <w:bookmarkStart w:id="138" w:name="_Toc19409"/>
      <w:bookmarkStart w:id="139" w:name="_Toc2975"/>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763"/>
      <w:bookmarkStart w:id="142" w:name="_Toc12863"/>
      <w:bookmarkStart w:id="143" w:name="_Toc76373907"/>
      <w:bookmarkStart w:id="144" w:name="_Toc11892"/>
      <w:bookmarkStart w:id="145" w:name="_Toc16112"/>
      <w:bookmarkStart w:id="146" w:name="_Toc7750"/>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6D5D319D">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bookmarkEnd w:id="159"/>
    <w:bookmarkEnd w:id="160"/>
    <w:p w14:paraId="297A33C4">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p>
    <w:p w14:paraId="5557BCCA">
      <w:pPr>
        <w:pStyle w:val="2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5DF1191C">
      <w:pPr>
        <w:jc w:val="center"/>
        <w:rPr>
          <w:rFonts w:hint="eastAsia" w:ascii="宋体" w:hAnsi="宋体" w:eastAsia="宋体" w:cs="宋体"/>
          <w:b/>
          <w:szCs w:val="28"/>
          <w:lang w:val="en-US" w:eastAsia="zh-CN"/>
        </w:rPr>
      </w:pPr>
    </w:p>
    <w:p w14:paraId="3034AEE4">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3E182D65">
      <w:pPr>
        <w:tabs>
          <w:tab w:val="left" w:pos="6300"/>
        </w:tabs>
        <w:snapToGrid w:val="0"/>
        <w:spacing w:line="312" w:lineRule="auto"/>
        <w:rPr>
          <w:rFonts w:ascii="宋体" w:hAnsi="宋体" w:cs="宋体"/>
          <w:szCs w:val="28"/>
        </w:rPr>
      </w:pPr>
      <w:r>
        <w:rPr>
          <w:rFonts w:hint="eastAsia" w:ascii="宋体" w:hAnsi="宋体" w:cs="宋体"/>
          <w:szCs w:val="28"/>
        </w:rPr>
        <w:t>竞选项目名称：</w:t>
      </w:r>
    </w:p>
    <w:tbl>
      <w:tblPr>
        <w:tblStyle w:val="59"/>
        <w:tblW w:w="1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930"/>
        <w:gridCol w:w="1345"/>
        <w:gridCol w:w="1657"/>
        <w:gridCol w:w="1340"/>
        <w:gridCol w:w="920"/>
        <w:gridCol w:w="787"/>
        <w:gridCol w:w="2267"/>
        <w:gridCol w:w="776"/>
        <w:gridCol w:w="1270"/>
        <w:gridCol w:w="1200"/>
        <w:gridCol w:w="1303"/>
        <w:gridCol w:w="684"/>
      </w:tblGrid>
      <w:tr w14:paraId="7187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vAlign w:val="center"/>
          </w:tcPr>
          <w:p w14:paraId="7A09F049">
            <w:pPr>
              <w:jc w:val="center"/>
              <w:rPr>
                <w:rFonts w:ascii="宋体" w:hAnsi="宋体" w:cs="宋体"/>
                <w:bCs/>
                <w:szCs w:val="28"/>
                <w:lang w:val="de-DE"/>
              </w:rPr>
            </w:pPr>
            <w:r>
              <w:rPr>
                <w:rFonts w:hint="eastAsia" w:ascii="宋体" w:hAnsi="宋体" w:cs="宋体"/>
                <w:bCs/>
                <w:szCs w:val="28"/>
                <w:lang w:val="de-DE"/>
              </w:rPr>
              <w:t>序号</w:t>
            </w:r>
          </w:p>
        </w:tc>
        <w:tc>
          <w:tcPr>
            <w:tcW w:w="930" w:type="dxa"/>
            <w:vAlign w:val="center"/>
          </w:tcPr>
          <w:p w14:paraId="2C6BAAFB">
            <w:pPr>
              <w:jc w:val="center"/>
              <w:rPr>
                <w:rFonts w:ascii="宋体" w:hAnsi="宋体" w:cs="宋体"/>
                <w:bCs/>
                <w:szCs w:val="28"/>
              </w:rPr>
            </w:pPr>
            <w:r>
              <w:rPr>
                <w:rFonts w:hint="eastAsia" w:ascii="宋体" w:hAnsi="宋体" w:cs="宋体"/>
                <w:bCs/>
                <w:szCs w:val="28"/>
              </w:rPr>
              <w:t>项目名称</w:t>
            </w:r>
          </w:p>
        </w:tc>
        <w:tc>
          <w:tcPr>
            <w:tcW w:w="930" w:type="dxa"/>
            <w:vAlign w:val="center"/>
          </w:tcPr>
          <w:p w14:paraId="5CD0579D">
            <w:pPr>
              <w:jc w:val="center"/>
              <w:rPr>
                <w:rFonts w:ascii="宋体" w:hAnsi="宋体" w:cs="宋体"/>
                <w:bCs/>
                <w:szCs w:val="28"/>
              </w:rPr>
            </w:pPr>
            <w:r>
              <w:rPr>
                <w:rFonts w:hint="eastAsia" w:ascii="宋体" w:hAnsi="宋体" w:cs="宋体"/>
                <w:bCs/>
                <w:szCs w:val="28"/>
              </w:rPr>
              <w:t>国家医保编码</w:t>
            </w:r>
          </w:p>
        </w:tc>
        <w:tc>
          <w:tcPr>
            <w:tcW w:w="1345" w:type="dxa"/>
            <w:vAlign w:val="center"/>
          </w:tcPr>
          <w:p w14:paraId="3AC0EE15">
            <w:pPr>
              <w:jc w:val="center"/>
              <w:rPr>
                <w:rFonts w:ascii="宋体" w:hAnsi="宋体" w:cs="宋体"/>
                <w:bCs/>
                <w:szCs w:val="28"/>
              </w:rPr>
            </w:pPr>
            <w:r>
              <w:rPr>
                <w:rFonts w:hint="eastAsia" w:ascii="宋体" w:hAnsi="宋体" w:cs="宋体"/>
                <w:bCs/>
                <w:szCs w:val="28"/>
              </w:rPr>
              <w:t>医疗器械</w:t>
            </w:r>
            <w:r>
              <w:rPr>
                <w:rFonts w:hint="eastAsia" w:ascii="宋体" w:hAnsi="宋体" w:cs="宋体"/>
                <w:bCs/>
                <w:szCs w:val="28"/>
                <w:lang w:val="de-DE"/>
              </w:rPr>
              <w:t>注册证名称</w:t>
            </w:r>
          </w:p>
        </w:tc>
        <w:tc>
          <w:tcPr>
            <w:tcW w:w="1657" w:type="dxa"/>
            <w:vAlign w:val="center"/>
          </w:tcPr>
          <w:p w14:paraId="4C8B8EF0">
            <w:pPr>
              <w:jc w:val="center"/>
              <w:rPr>
                <w:rFonts w:ascii="宋体" w:hAnsi="宋体" w:cs="宋体"/>
                <w:bCs/>
                <w:szCs w:val="28"/>
              </w:rPr>
            </w:pPr>
            <w:r>
              <w:rPr>
                <w:rFonts w:hint="eastAsia" w:ascii="宋体" w:hAnsi="宋体" w:cs="宋体"/>
                <w:bCs/>
                <w:szCs w:val="28"/>
              </w:rPr>
              <w:t>医疗器械注册证号/有效期</w:t>
            </w:r>
          </w:p>
        </w:tc>
        <w:tc>
          <w:tcPr>
            <w:tcW w:w="1340" w:type="dxa"/>
            <w:vAlign w:val="center"/>
          </w:tcPr>
          <w:p w14:paraId="5F6DDFE0">
            <w:pPr>
              <w:jc w:val="center"/>
              <w:rPr>
                <w:rFonts w:ascii="宋体" w:hAnsi="宋体" w:cs="宋体"/>
                <w:bCs/>
                <w:szCs w:val="28"/>
              </w:rPr>
            </w:pPr>
            <w:r>
              <w:rPr>
                <w:rFonts w:hint="eastAsia" w:ascii="宋体" w:hAnsi="宋体" w:cs="宋体"/>
                <w:bCs/>
                <w:szCs w:val="28"/>
              </w:rPr>
              <w:t>规格型号</w:t>
            </w:r>
          </w:p>
        </w:tc>
        <w:tc>
          <w:tcPr>
            <w:tcW w:w="920" w:type="dxa"/>
            <w:vAlign w:val="center"/>
          </w:tcPr>
          <w:p w14:paraId="79EDBF99">
            <w:pPr>
              <w:jc w:val="center"/>
              <w:rPr>
                <w:rFonts w:ascii="宋体" w:hAnsi="宋体" w:cs="宋体"/>
                <w:bCs/>
                <w:szCs w:val="28"/>
              </w:rPr>
            </w:pPr>
            <w:r>
              <w:rPr>
                <w:rFonts w:hint="eastAsia" w:ascii="宋体" w:hAnsi="宋体" w:cs="宋体"/>
                <w:bCs/>
                <w:szCs w:val="28"/>
              </w:rPr>
              <w:t>生产厂家</w:t>
            </w:r>
          </w:p>
        </w:tc>
        <w:tc>
          <w:tcPr>
            <w:tcW w:w="787" w:type="dxa"/>
            <w:vAlign w:val="center"/>
          </w:tcPr>
          <w:p w14:paraId="7EE3B3F9">
            <w:pPr>
              <w:ind w:right="-207" w:rightChars="-74"/>
              <w:rPr>
                <w:rFonts w:ascii="宋体" w:hAnsi="宋体" w:cs="宋体"/>
                <w:bCs/>
                <w:szCs w:val="28"/>
              </w:rPr>
            </w:pPr>
            <w:r>
              <w:rPr>
                <w:rFonts w:hint="eastAsia" w:ascii="宋体" w:hAnsi="宋体" w:cs="宋体"/>
                <w:bCs/>
                <w:szCs w:val="28"/>
              </w:rPr>
              <w:t>产地</w:t>
            </w:r>
          </w:p>
        </w:tc>
        <w:tc>
          <w:tcPr>
            <w:tcW w:w="2267" w:type="dxa"/>
            <w:vAlign w:val="center"/>
          </w:tcPr>
          <w:p w14:paraId="2C6C7918">
            <w:pPr>
              <w:jc w:val="center"/>
              <w:rPr>
                <w:rFonts w:ascii="宋体" w:hAnsi="宋体" w:cs="宋体"/>
                <w:bCs/>
                <w:szCs w:val="28"/>
              </w:rPr>
            </w:pPr>
            <w:r>
              <w:rPr>
                <w:rFonts w:hint="eastAsia" w:ascii="宋体" w:hAnsi="宋体" w:cs="宋体"/>
                <w:bCs/>
                <w:szCs w:val="28"/>
              </w:rPr>
              <w:t>药交所平台挂网最低价/计价单位</w:t>
            </w:r>
          </w:p>
        </w:tc>
        <w:tc>
          <w:tcPr>
            <w:tcW w:w="776" w:type="dxa"/>
            <w:vAlign w:val="center"/>
          </w:tcPr>
          <w:p w14:paraId="3D1E4D0E">
            <w:pPr>
              <w:jc w:val="center"/>
              <w:rPr>
                <w:rFonts w:ascii="宋体" w:hAnsi="宋体" w:cs="宋体"/>
                <w:bCs/>
                <w:szCs w:val="28"/>
              </w:rPr>
            </w:pPr>
            <w:r>
              <w:rPr>
                <w:rFonts w:hint="eastAsia" w:ascii="宋体" w:hAnsi="宋体" w:cs="宋体"/>
                <w:bCs/>
                <w:szCs w:val="28"/>
              </w:rPr>
              <w:t>计数单位</w:t>
            </w:r>
          </w:p>
        </w:tc>
        <w:tc>
          <w:tcPr>
            <w:tcW w:w="1270" w:type="dxa"/>
            <w:vAlign w:val="center"/>
          </w:tcPr>
          <w:p w14:paraId="34ED4A99">
            <w:pPr>
              <w:jc w:val="center"/>
              <w:rPr>
                <w:rFonts w:ascii="宋体" w:hAnsi="宋体" w:cs="宋体"/>
                <w:bCs/>
                <w:szCs w:val="28"/>
              </w:rPr>
            </w:pPr>
            <w:r>
              <w:rPr>
                <w:rFonts w:hint="eastAsia" w:ascii="宋体" w:hAnsi="宋体" w:cs="宋体"/>
                <w:bCs/>
                <w:szCs w:val="28"/>
              </w:rPr>
              <w:t>线上报价</w:t>
            </w:r>
          </w:p>
          <w:p w14:paraId="50C8892B">
            <w:pPr>
              <w:jc w:val="center"/>
              <w:rPr>
                <w:rFonts w:ascii="宋体" w:hAnsi="宋体" w:cs="宋体"/>
                <w:bCs/>
                <w:szCs w:val="28"/>
              </w:rPr>
            </w:pPr>
            <w:r>
              <w:rPr>
                <w:rFonts w:hint="eastAsia" w:ascii="宋体" w:hAnsi="宋体" w:cs="宋体"/>
                <w:bCs/>
                <w:szCs w:val="28"/>
              </w:rPr>
              <w:t>（元/人份）</w:t>
            </w:r>
          </w:p>
        </w:tc>
        <w:tc>
          <w:tcPr>
            <w:tcW w:w="1200" w:type="dxa"/>
            <w:vAlign w:val="center"/>
          </w:tcPr>
          <w:p w14:paraId="3427B564">
            <w:pPr>
              <w:jc w:val="center"/>
              <w:rPr>
                <w:rFonts w:ascii="宋体" w:hAnsi="宋体" w:cs="宋体"/>
                <w:bCs/>
                <w:szCs w:val="28"/>
              </w:rPr>
            </w:pPr>
            <w:r>
              <w:rPr>
                <w:rFonts w:hint="eastAsia" w:ascii="宋体" w:hAnsi="宋体" w:cs="宋体"/>
                <w:bCs/>
                <w:szCs w:val="28"/>
              </w:rPr>
              <w:t>备案采购报价（元/人份）</w:t>
            </w:r>
          </w:p>
        </w:tc>
        <w:tc>
          <w:tcPr>
            <w:tcW w:w="1303" w:type="dxa"/>
            <w:vAlign w:val="center"/>
          </w:tcPr>
          <w:p w14:paraId="158886D7">
            <w:pPr>
              <w:jc w:val="center"/>
              <w:rPr>
                <w:rFonts w:ascii="宋体" w:hAnsi="宋体" w:cs="宋体"/>
                <w:bCs/>
                <w:szCs w:val="28"/>
              </w:rPr>
            </w:pPr>
            <w:r>
              <w:rPr>
                <w:rFonts w:hint="eastAsia" w:ascii="宋体" w:hAnsi="宋体" w:cs="宋体"/>
                <w:bCs/>
                <w:szCs w:val="28"/>
              </w:rPr>
              <w:t>总价</w:t>
            </w:r>
          </w:p>
        </w:tc>
        <w:tc>
          <w:tcPr>
            <w:tcW w:w="684" w:type="dxa"/>
            <w:vAlign w:val="center"/>
          </w:tcPr>
          <w:p w14:paraId="027AABC2">
            <w:pPr>
              <w:jc w:val="center"/>
              <w:rPr>
                <w:rFonts w:ascii="宋体" w:hAnsi="宋体" w:cs="宋体"/>
                <w:bCs/>
                <w:szCs w:val="28"/>
              </w:rPr>
            </w:pPr>
            <w:r>
              <w:rPr>
                <w:rFonts w:hint="eastAsia" w:ascii="宋体" w:hAnsi="宋体" w:cs="宋体"/>
                <w:bCs/>
                <w:szCs w:val="28"/>
              </w:rPr>
              <w:t>备注</w:t>
            </w:r>
          </w:p>
        </w:tc>
      </w:tr>
      <w:tr w14:paraId="117E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4C86482A">
            <w:pPr>
              <w:spacing w:line="480" w:lineRule="auto"/>
              <w:jc w:val="center"/>
              <w:rPr>
                <w:rFonts w:ascii="宋体" w:hAnsi="宋体" w:cs="宋体"/>
                <w:szCs w:val="28"/>
                <w:lang w:val="de-DE"/>
              </w:rPr>
            </w:pPr>
          </w:p>
        </w:tc>
        <w:tc>
          <w:tcPr>
            <w:tcW w:w="930" w:type="dxa"/>
            <w:vAlign w:val="center"/>
          </w:tcPr>
          <w:p w14:paraId="40544686">
            <w:pPr>
              <w:spacing w:line="480" w:lineRule="auto"/>
              <w:jc w:val="center"/>
              <w:rPr>
                <w:rFonts w:ascii="宋体" w:hAnsi="宋体" w:cs="宋体"/>
                <w:szCs w:val="28"/>
                <w:lang w:val="de-DE"/>
              </w:rPr>
            </w:pPr>
          </w:p>
        </w:tc>
        <w:tc>
          <w:tcPr>
            <w:tcW w:w="930" w:type="dxa"/>
            <w:vAlign w:val="center"/>
          </w:tcPr>
          <w:p w14:paraId="3AA9B21F">
            <w:pPr>
              <w:spacing w:line="480" w:lineRule="auto"/>
              <w:jc w:val="center"/>
              <w:rPr>
                <w:rFonts w:ascii="宋体" w:hAnsi="宋体" w:cs="宋体"/>
                <w:szCs w:val="28"/>
                <w:lang w:val="de-DE"/>
              </w:rPr>
            </w:pPr>
          </w:p>
        </w:tc>
        <w:tc>
          <w:tcPr>
            <w:tcW w:w="1345" w:type="dxa"/>
            <w:vAlign w:val="center"/>
          </w:tcPr>
          <w:p w14:paraId="6C1E3089">
            <w:pPr>
              <w:spacing w:line="480" w:lineRule="auto"/>
              <w:jc w:val="center"/>
              <w:rPr>
                <w:rFonts w:ascii="宋体" w:hAnsi="宋体" w:cs="宋体"/>
                <w:szCs w:val="28"/>
                <w:lang w:val="de-DE"/>
              </w:rPr>
            </w:pPr>
          </w:p>
        </w:tc>
        <w:tc>
          <w:tcPr>
            <w:tcW w:w="1657" w:type="dxa"/>
            <w:vAlign w:val="center"/>
          </w:tcPr>
          <w:p w14:paraId="2FB1AF6D">
            <w:pPr>
              <w:spacing w:line="480" w:lineRule="auto"/>
              <w:jc w:val="center"/>
              <w:rPr>
                <w:rFonts w:ascii="宋体" w:hAnsi="宋体" w:cs="宋体"/>
                <w:szCs w:val="28"/>
              </w:rPr>
            </w:pPr>
          </w:p>
        </w:tc>
        <w:tc>
          <w:tcPr>
            <w:tcW w:w="1340" w:type="dxa"/>
            <w:vAlign w:val="center"/>
          </w:tcPr>
          <w:p w14:paraId="21C32167">
            <w:pPr>
              <w:spacing w:line="480" w:lineRule="auto"/>
              <w:jc w:val="center"/>
              <w:rPr>
                <w:rFonts w:ascii="宋体" w:hAnsi="宋体" w:cs="宋体"/>
                <w:szCs w:val="28"/>
              </w:rPr>
            </w:pPr>
          </w:p>
        </w:tc>
        <w:tc>
          <w:tcPr>
            <w:tcW w:w="920" w:type="dxa"/>
            <w:vAlign w:val="center"/>
          </w:tcPr>
          <w:p w14:paraId="246A703F">
            <w:pPr>
              <w:spacing w:line="480" w:lineRule="auto"/>
              <w:jc w:val="center"/>
              <w:rPr>
                <w:rFonts w:ascii="宋体" w:hAnsi="宋体" w:cs="宋体"/>
                <w:szCs w:val="28"/>
              </w:rPr>
            </w:pPr>
          </w:p>
        </w:tc>
        <w:tc>
          <w:tcPr>
            <w:tcW w:w="787" w:type="dxa"/>
            <w:vAlign w:val="center"/>
          </w:tcPr>
          <w:p w14:paraId="6BD4BB86">
            <w:pPr>
              <w:spacing w:line="480" w:lineRule="auto"/>
              <w:ind w:right="538" w:rightChars="192"/>
              <w:jc w:val="center"/>
              <w:rPr>
                <w:rFonts w:ascii="宋体" w:hAnsi="宋体" w:cs="宋体"/>
                <w:szCs w:val="28"/>
              </w:rPr>
            </w:pPr>
          </w:p>
        </w:tc>
        <w:tc>
          <w:tcPr>
            <w:tcW w:w="2267" w:type="dxa"/>
            <w:vAlign w:val="center"/>
          </w:tcPr>
          <w:p w14:paraId="06921E87">
            <w:pPr>
              <w:spacing w:line="480" w:lineRule="auto"/>
              <w:jc w:val="center"/>
              <w:rPr>
                <w:rFonts w:ascii="宋体" w:hAnsi="宋体" w:cs="宋体"/>
                <w:szCs w:val="28"/>
              </w:rPr>
            </w:pPr>
            <w:r>
              <w:rPr>
                <w:rFonts w:hint="eastAsia" w:ascii="宋体" w:hAnsi="宋体" w:cs="宋体"/>
                <w:szCs w:val="28"/>
              </w:rPr>
              <w:t xml:space="preserve"> </w:t>
            </w:r>
          </w:p>
        </w:tc>
        <w:tc>
          <w:tcPr>
            <w:tcW w:w="776" w:type="dxa"/>
            <w:vAlign w:val="center"/>
          </w:tcPr>
          <w:p w14:paraId="17664703">
            <w:pPr>
              <w:spacing w:line="480" w:lineRule="auto"/>
              <w:jc w:val="center"/>
              <w:rPr>
                <w:rFonts w:ascii="宋体" w:hAnsi="宋体" w:cs="宋体"/>
                <w:szCs w:val="28"/>
              </w:rPr>
            </w:pPr>
          </w:p>
        </w:tc>
        <w:tc>
          <w:tcPr>
            <w:tcW w:w="1270" w:type="dxa"/>
            <w:vAlign w:val="center"/>
          </w:tcPr>
          <w:p w14:paraId="702DBBF6">
            <w:pPr>
              <w:spacing w:line="480" w:lineRule="auto"/>
              <w:jc w:val="center"/>
              <w:rPr>
                <w:rFonts w:ascii="宋体" w:hAnsi="宋体" w:cs="宋体"/>
                <w:szCs w:val="28"/>
              </w:rPr>
            </w:pPr>
          </w:p>
        </w:tc>
        <w:tc>
          <w:tcPr>
            <w:tcW w:w="1200" w:type="dxa"/>
            <w:vAlign w:val="center"/>
          </w:tcPr>
          <w:p w14:paraId="2D831B9C">
            <w:pPr>
              <w:spacing w:line="480" w:lineRule="auto"/>
              <w:jc w:val="center"/>
              <w:rPr>
                <w:rFonts w:ascii="宋体" w:hAnsi="宋体" w:cs="宋体"/>
                <w:szCs w:val="28"/>
              </w:rPr>
            </w:pPr>
          </w:p>
        </w:tc>
        <w:tc>
          <w:tcPr>
            <w:tcW w:w="1303" w:type="dxa"/>
            <w:vMerge w:val="restart"/>
            <w:vAlign w:val="center"/>
          </w:tcPr>
          <w:p w14:paraId="6CD4C4BB">
            <w:pPr>
              <w:spacing w:line="480" w:lineRule="auto"/>
              <w:jc w:val="center"/>
              <w:rPr>
                <w:rFonts w:ascii="宋体" w:hAnsi="宋体" w:cs="宋体"/>
                <w:szCs w:val="28"/>
              </w:rPr>
            </w:pPr>
            <w:r>
              <w:rPr>
                <w:rFonts w:hint="eastAsia" w:ascii="宋体" w:hAnsi="宋体" w:cs="宋体"/>
                <w:sz w:val="18"/>
                <w:szCs w:val="18"/>
              </w:rPr>
              <w:t>按</w:t>
            </w:r>
            <w:r>
              <w:rPr>
                <w:rFonts w:ascii="宋体" w:hAnsi="宋体" w:cs="宋体"/>
                <w:sz w:val="18"/>
                <w:szCs w:val="18"/>
              </w:rPr>
              <w:t xml:space="preserve"> 32 </w:t>
            </w:r>
            <w:r>
              <w:rPr>
                <w:rFonts w:hint="eastAsia" w:ascii="宋体" w:hAnsi="宋体" w:cs="宋体"/>
                <w:sz w:val="18"/>
                <w:szCs w:val="18"/>
              </w:rPr>
              <w:t>个项目分别报价，并汇总投标总价</w:t>
            </w:r>
          </w:p>
        </w:tc>
        <w:tc>
          <w:tcPr>
            <w:tcW w:w="684" w:type="dxa"/>
            <w:vAlign w:val="center"/>
          </w:tcPr>
          <w:p w14:paraId="3EE7888E">
            <w:pPr>
              <w:spacing w:line="480" w:lineRule="auto"/>
              <w:jc w:val="center"/>
              <w:rPr>
                <w:rFonts w:ascii="宋体" w:hAnsi="宋体" w:cs="宋体"/>
                <w:szCs w:val="28"/>
              </w:rPr>
            </w:pPr>
          </w:p>
        </w:tc>
      </w:tr>
      <w:tr w14:paraId="42C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EBFB9DC">
            <w:pPr>
              <w:spacing w:line="480" w:lineRule="auto"/>
              <w:jc w:val="center"/>
              <w:rPr>
                <w:rFonts w:ascii="宋体" w:hAnsi="宋体" w:cs="宋体"/>
                <w:szCs w:val="28"/>
                <w:lang w:val="de-DE"/>
              </w:rPr>
            </w:pPr>
          </w:p>
        </w:tc>
        <w:tc>
          <w:tcPr>
            <w:tcW w:w="930" w:type="dxa"/>
            <w:vAlign w:val="center"/>
          </w:tcPr>
          <w:p w14:paraId="12CFE1CF">
            <w:pPr>
              <w:spacing w:line="480" w:lineRule="auto"/>
              <w:jc w:val="center"/>
              <w:rPr>
                <w:rFonts w:ascii="宋体" w:hAnsi="宋体" w:cs="宋体"/>
                <w:szCs w:val="28"/>
                <w:lang w:val="de-DE"/>
              </w:rPr>
            </w:pPr>
          </w:p>
        </w:tc>
        <w:tc>
          <w:tcPr>
            <w:tcW w:w="930" w:type="dxa"/>
            <w:vAlign w:val="center"/>
          </w:tcPr>
          <w:p w14:paraId="5C65BA8C">
            <w:pPr>
              <w:spacing w:line="480" w:lineRule="auto"/>
              <w:jc w:val="center"/>
              <w:rPr>
                <w:rFonts w:ascii="宋体" w:hAnsi="宋体" w:cs="宋体"/>
                <w:szCs w:val="28"/>
                <w:lang w:val="de-DE"/>
              </w:rPr>
            </w:pPr>
          </w:p>
        </w:tc>
        <w:tc>
          <w:tcPr>
            <w:tcW w:w="1345" w:type="dxa"/>
            <w:vAlign w:val="center"/>
          </w:tcPr>
          <w:p w14:paraId="66B7DB76">
            <w:pPr>
              <w:spacing w:line="480" w:lineRule="auto"/>
              <w:jc w:val="center"/>
              <w:rPr>
                <w:rFonts w:ascii="宋体" w:hAnsi="宋体" w:cs="宋体"/>
                <w:szCs w:val="28"/>
                <w:lang w:val="de-DE"/>
              </w:rPr>
            </w:pPr>
          </w:p>
        </w:tc>
        <w:tc>
          <w:tcPr>
            <w:tcW w:w="1657" w:type="dxa"/>
            <w:vAlign w:val="center"/>
          </w:tcPr>
          <w:p w14:paraId="61EEB26B">
            <w:pPr>
              <w:spacing w:line="480" w:lineRule="auto"/>
              <w:jc w:val="center"/>
              <w:rPr>
                <w:rFonts w:ascii="宋体" w:hAnsi="宋体" w:cs="宋体"/>
                <w:szCs w:val="28"/>
              </w:rPr>
            </w:pPr>
          </w:p>
        </w:tc>
        <w:tc>
          <w:tcPr>
            <w:tcW w:w="1340" w:type="dxa"/>
            <w:vAlign w:val="center"/>
          </w:tcPr>
          <w:p w14:paraId="7BD22E43">
            <w:pPr>
              <w:spacing w:line="480" w:lineRule="auto"/>
              <w:jc w:val="center"/>
              <w:rPr>
                <w:rFonts w:ascii="宋体" w:hAnsi="宋体" w:cs="宋体"/>
                <w:szCs w:val="28"/>
              </w:rPr>
            </w:pPr>
          </w:p>
        </w:tc>
        <w:tc>
          <w:tcPr>
            <w:tcW w:w="920" w:type="dxa"/>
            <w:vAlign w:val="center"/>
          </w:tcPr>
          <w:p w14:paraId="09FA158D">
            <w:pPr>
              <w:spacing w:line="480" w:lineRule="auto"/>
              <w:jc w:val="center"/>
              <w:rPr>
                <w:rFonts w:ascii="宋体" w:hAnsi="宋体" w:cs="宋体"/>
                <w:szCs w:val="28"/>
              </w:rPr>
            </w:pPr>
          </w:p>
        </w:tc>
        <w:tc>
          <w:tcPr>
            <w:tcW w:w="787" w:type="dxa"/>
            <w:vAlign w:val="center"/>
          </w:tcPr>
          <w:p w14:paraId="4E29C001">
            <w:pPr>
              <w:spacing w:line="480" w:lineRule="auto"/>
              <w:jc w:val="center"/>
              <w:rPr>
                <w:rFonts w:ascii="宋体" w:hAnsi="宋体" w:cs="宋体"/>
                <w:szCs w:val="28"/>
              </w:rPr>
            </w:pPr>
          </w:p>
        </w:tc>
        <w:tc>
          <w:tcPr>
            <w:tcW w:w="2267" w:type="dxa"/>
            <w:vAlign w:val="center"/>
          </w:tcPr>
          <w:p w14:paraId="7D322653">
            <w:pPr>
              <w:spacing w:line="480" w:lineRule="auto"/>
              <w:jc w:val="center"/>
              <w:rPr>
                <w:rFonts w:ascii="宋体" w:hAnsi="宋体" w:cs="宋体"/>
                <w:szCs w:val="28"/>
              </w:rPr>
            </w:pPr>
          </w:p>
        </w:tc>
        <w:tc>
          <w:tcPr>
            <w:tcW w:w="776" w:type="dxa"/>
            <w:vAlign w:val="center"/>
          </w:tcPr>
          <w:p w14:paraId="5EE3D3F3">
            <w:pPr>
              <w:spacing w:line="480" w:lineRule="auto"/>
              <w:jc w:val="center"/>
              <w:rPr>
                <w:rFonts w:ascii="宋体" w:hAnsi="宋体" w:cs="宋体"/>
                <w:szCs w:val="28"/>
              </w:rPr>
            </w:pPr>
          </w:p>
        </w:tc>
        <w:tc>
          <w:tcPr>
            <w:tcW w:w="1270" w:type="dxa"/>
            <w:vAlign w:val="center"/>
          </w:tcPr>
          <w:p w14:paraId="19EBA6C3">
            <w:pPr>
              <w:spacing w:line="480" w:lineRule="auto"/>
              <w:jc w:val="center"/>
              <w:rPr>
                <w:rFonts w:ascii="宋体" w:hAnsi="宋体" w:cs="宋体"/>
                <w:szCs w:val="28"/>
              </w:rPr>
            </w:pPr>
          </w:p>
        </w:tc>
        <w:tc>
          <w:tcPr>
            <w:tcW w:w="1200" w:type="dxa"/>
            <w:vAlign w:val="center"/>
          </w:tcPr>
          <w:p w14:paraId="0B303AA9">
            <w:pPr>
              <w:spacing w:line="480" w:lineRule="auto"/>
              <w:jc w:val="center"/>
              <w:rPr>
                <w:rFonts w:ascii="宋体" w:hAnsi="宋体" w:cs="宋体"/>
                <w:szCs w:val="28"/>
              </w:rPr>
            </w:pPr>
          </w:p>
        </w:tc>
        <w:tc>
          <w:tcPr>
            <w:tcW w:w="1303" w:type="dxa"/>
            <w:vMerge w:val="continue"/>
            <w:vAlign w:val="center"/>
          </w:tcPr>
          <w:p w14:paraId="68A8C59D">
            <w:pPr>
              <w:spacing w:line="480" w:lineRule="auto"/>
              <w:jc w:val="center"/>
              <w:rPr>
                <w:rFonts w:ascii="宋体" w:hAnsi="宋体" w:cs="宋体"/>
                <w:szCs w:val="28"/>
              </w:rPr>
            </w:pPr>
          </w:p>
        </w:tc>
        <w:tc>
          <w:tcPr>
            <w:tcW w:w="684" w:type="dxa"/>
            <w:vAlign w:val="center"/>
          </w:tcPr>
          <w:p w14:paraId="622A9F79">
            <w:pPr>
              <w:spacing w:line="480" w:lineRule="auto"/>
              <w:jc w:val="center"/>
              <w:rPr>
                <w:rFonts w:ascii="宋体" w:hAnsi="宋体" w:cs="宋体"/>
                <w:szCs w:val="28"/>
              </w:rPr>
            </w:pPr>
          </w:p>
        </w:tc>
      </w:tr>
    </w:tbl>
    <w:p w14:paraId="106CDCC0">
      <w:pPr>
        <w:tabs>
          <w:tab w:val="left" w:pos="6300"/>
        </w:tabs>
        <w:snapToGrid w:val="0"/>
        <w:spacing w:line="312" w:lineRule="auto"/>
        <w:ind w:firstLine="560" w:firstLineChars="200"/>
        <w:rPr>
          <w:rFonts w:ascii="宋体" w:hAnsi="宋体" w:cs="宋体"/>
          <w:szCs w:val="28"/>
        </w:rPr>
      </w:pPr>
    </w:p>
    <w:p w14:paraId="20271815">
      <w:pPr>
        <w:tabs>
          <w:tab w:val="left" w:pos="6300"/>
        </w:tabs>
        <w:snapToGrid w:val="0"/>
        <w:spacing w:line="312" w:lineRule="auto"/>
        <w:ind w:firstLine="4480" w:firstLineChars="1600"/>
        <w:rPr>
          <w:rFonts w:ascii="宋体" w:hAnsi="宋体" w:cs="宋体"/>
          <w:szCs w:val="28"/>
        </w:rPr>
      </w:pPr>
      <w:r>
        <w:rPr>
          <w:rFonts w:hint="eastAsia" w:ascii="宋体" w:hAnsi="宋体" w:cs="宋体"/>
          <w:szCs w:val="28"/>
        </w:rPr>
        <w:t>竞选人                                   法定代表人授权代表：</w:t>
      </w:r>
    </w:p>
    <w:p w14:paraId="3815F6A3">
      <w:pPr>
        <w:tabs>
          <w:tab w:val="left" w:pos="6300"/>
        </w:tabs>
        <w:snapToGrid w:val="0"/>
        <w:spacing w:line="312" w:lineRule="auto"/>
        <w:ind w:firstLine="560" w:firstLineChars="200"/>
        <w:rPr>
          <w:rFonts w:ascii="宋体" w:hAnsi="宋体" w:cs="宋体"/>
          <w:szCs w:val="28"/>
        </w:rPr>
      </w:pPr>
      <w:r>
        <w:rPr>
          <w:rFonts w:hint="eastAsia" w:ascii="宋体" w:hAnsi="宋体" w:cs="宋体"/>
          <w:szCs w:val="28"/>
        </w:rPr>
        <w:t xml:space="preserve">                            （竞选人公章）                               （签字或盖章）</w:t>
      </w:r>
    </w:p>
    <w:p w14:paraId="7AB3F6D4">
      <w:pPr>
        <w:tabs>
          <w:tab w:val="left" w:pos="6300"/>
        </w:tabs>
        <w:snapToGrid w:val="0"/>
        <w:spacing w:line="312" w:lineRule="auto"/>
        <w:ind w:firstLine="560" w:firstLineChars="200"/>
        <w:rPr>
          <w:rFonts w:ascii="宋体" w:hAnsi="宋体" w:cs="宋体"/>
          <w:szCs w:val="28"/>
        </w:rPr>
      </w:pPr>
    </w:p>
    <w:p w14:paraId="72A125AE">
      <w:pPr>
        <w:tabs>
          <w:tab w:val="left" w:pos="6300"/>
        </w:tabs>
        <w:snapToGrid w:val="0"/>
        <w:spacing w:line="312" w:lineRule="auto"/>
        <w:ind w:firstLine="560" w:firstLineChars="200"/>
        <w:rPr>
          <w:rFonts w:ascii="宋体" w:hAnsi="宋体" w:cs="宋体"/>
          <w:szCs w:val="28"/>
        </w:rPr>
      </w:pPr>
      <w:r>
        <w:rPr>
          <w:rFonts w:hint="eastAsia" w:ascii="宋体" w:hAnsi="宋体" w:cs="宋体"/>
          <w:szCs w:val="28"/>
        </w:rPr>
        <w:t xml:space="preserve">                                                                                  年     月     日</w:t>
      </w:r>
    </w:p>
    <w:p w14:paraId="7F0055B9">
      <w:pPr>
        <w:tabs>
          <w:tab w:val="left" w:pos="6300"/>
        </w:tabs>
        <w:snapToGrid w:val="0"/>
        <w:spacing w:line="312" w:lineRule="auto"/>
        <w:ind w:firstLine="560" w:firstLineChars="200"/>
        <w:rPr>
          <w:rFonts w:hint="eastAsia" w:ascii="微软雅黑" w:hAnsi="微软雅黑" w:eastAsia="微软雅黑" w:cs="微软雅黑"/>
          <w:sz w:val="24"/>
          <w:szCs w:val="24"/>
        </w:rPr>
      </w:pPr>
      <w:r>
        <w:rPr>
          <w:rFonts w:hint="eastAsia" w:ascii="宋体" w:hAnsi="宋体" w:eastAsia="宋体" w:cs="宋体"/>
          <w:color w:val="auto"/>
          <w:sz w:val="28"/>
          <w:szCs w:val="28"/>
          <w:lang w:val="en-US" w:eastAsia="zh-CN"/>
        </w:rPr>
        <w:t>注：每人份价格需要包含除检测试剂外的定标液、质控品、清洗液、反应杯等其他所有配套耗材。</w:t>
      </w:r>
    </w:p>
    <w:p w14:paraId="3D754762">
      <w:pPr>
        <w:tabs>
          <w:tab w:val="left" w:pos="2895"/>
        </w:tabs>
        <w:spacing w:line="400" w:lineRule="exact"/>
        <w:ind w:firstLine="480" w:firstLineChars="200"/>
        <w:rPr>
          <w:rFonts w:hint="eastAsia" w:ascii="微软雅黑" w:hAnsi="微软雅黑" w:eastAsia="微软雅黑" w:cs="微软雅黑"/>
          <w:sz w:val="24"/>
          <w:szCs w:val="24"/>
        </w:rPr>
      </w:pPr>
    </w:p>
    <w:p w14:paraId="274851CC">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br w:type="page"/>
      </w:r>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76B976A1">
      <w:pPr>
        <w:pStyle w:val="2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”除了报价现场填写，其他电子文档填写后打印做到标书里面。</w:t>
      </w:r>
    </w:p>
    <w:p w14:paraId="1E02DC79">
      <w:pPr>
        <w:rPr>
          <w:rFonts w:hint="default"/>
          <w:lang w:val="en-US" w:eastAsia="zh-CN"/>
        </w:rPr>
      </w:pPr>
    </w:p>
    <w:p w14:paraId="0B55774C">
      <w:pPr>
        <w:jc w:val="center"/>
        <w:rPr>
          <w:rFonts w:hint="eastAsia" w:ascii="宋体" w:hAnsi="宋体" w:eastAsia="宋体" w:cs="宋体"/>
          <w:sz w:val="36"/>
          <w:szCs w:val="36"/>
        </w:rPr>
      </w:pPr>
      <w:bookmarkStart w:id="163" w:name="OLE_LINK5"/>
      <w:r>
        <w:rPr>
          <w:rFonts w:hint="eastAsia" w:ascii="宋体" w:hAnsi="宋体" w:eastAsia="宋体" w:cs="宋体"/>
          <w:b/>
          <w:color w:val="auto"/>
          <w:sz w:val="36"/>
          <w:szCs w:val="36"/>
        </w:rPr>
        <w:t>开标现场最终报价表</w:t>
      </w:r>
      <w:bookmarkEnd w:id="163"/>
    </w:p>
    <w:p w14:paraId="39A4AEBE">
      <w:pPr>
        <w:tabs>
          <w:tab w:val="left" w:pos="6300"/>
        </w:tabs>
        <w:snapToGrid w:val="0"/>
        <w:spacing w:line="312" w:lineRule="auto"/>
        <w:rPr>
          <w:rFonts w:ascii="宋体" w:hAnsi="宋体" w:cs="宋体"/>
          <w:szCs w:val="28"/>
        </w:rPr>
      </w:pPr>
      <w:r>
        <w:rPr>
          <w:rFonts w:hint="eastAsia" w:ascii="宋体" w:hAnsi="宋体" w:cs="宋体"/>
          <w:szCs w:val="28"/>
        </w:rPr>
        <w:t>竞选项目名称：</w:t>
      </w:r>
    </w:p>
    <w:tbl>
      <w:tblPr>
        <w:tblStyle w:val="59"/>
        <w:tblW w:w="1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930"/>
        <w:gridCol w:w="1345"/>
        <w:gridCol w:w="1657"/>
        <w:gridCol w:w="1340"/>
        <w:gridCol w:w="920"/>
        <w:gridCol w:w="787"/>
        <w:gridCol w:w="2267"/>
        <w:gridCol w:w="776"/>
        <w:gridCol w:w="1270"/>
        <w:gridCol w:w="1200"/>
        <w:gridCol w:w="1303"/>
        <w:gridCol w:w="684"/>
      </w:tblGrid>
      <w:tr w14:paraId="33BB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vAlign w:val="center"/>
          </w:tcPr>
          <w:p w14:paraId="4F67A1BC">
            <w:pPr>
              <w:jc w:val="center"/>
              <w:rPr>
                <w:rFonts w:ascii="宋体" w:hAnsi="宋体" w:cs="宋体"/>
                <w:bCs/>
                <w:szCs w:val="28"/>
                <w:lang w:val="de-DE"/>
              </w:rPr>
            </w:pPr>
            <w:r>
              <w:rPr>
                <w:rFonts w:hint="eastAsia" w:ascii="宋体" w:hAnsi="宋体" w:cs="宋体"/>
                <w:bCs/>
                <w:szCs w:val="28"/>
                <w:lang w:val="de-DE"/>
              </w:rPr>
              <w:t>序号</w:t>
            </w:r>
          </w:p>
        </w:tc>
        <w:tc>
          <w:tcPr>
            <w:tcW w:w="930" w:type="dxa"/>
            <w:vAlign w:val="center"/>
          </w:tcPr>
          <w:p w14:paraId="5F126185">
            <w:pPr>
              <w:jc w:val="center"/>
              <w:rPr>
                <w:rFonts w:ascii="宋体" w:hAnsi="宋体" w:cs="宋体"/>
                <w:bCs/>
                <w:szCs w:val="28"/>
              </w:rPr>
            </w:pPr>
            <w:r>
              <w:rPr>
                <w:rFonts w:hint="eastAsia" w:ascii="宋体" w:hAnsi="宋体" w:cs="宋体"/>
                <w:bCs/>
                <w:szCs w:val="28"/>
              </w:rPr>
              <w:t>项目名称</w:t>
            </w:r>
          </w:p>
        </w:tc>
        <w:tc>
          <w:tcPr>
            <w:tcW w:w="930" w:type="dxa"/>
            <w:vAlign w:val="center"/>
          </w:tcPr>
          <w:p w14:paraId="4328EA2C">
            <w:pPr>
              <w:jc w:val="center"/>
              <w:rPr>
                <w:rFonts w:ascii="宋体" w:hAnsi="宋体" w:cs="宋体"/>
                <w:bCs/>
                <w:szCs w:val="28"/>
              </w:rPr>
            </w:pPr>
            <w:r>
              <w:rPr>
                <w:rFonts w:hint="eastAsia" w:ascii="宋体" w:hAnsi="宋体" w:cs="宋体"/>
                <w:bCs/>
                <w:szCs w:val="28"/>
              </w:rPr>
              <w:t>国家医保编码</w:t>
            </w:r>
          </w:p>
        </w:tc>
        <w:tc>
          <w:tcPr>
            <w:tcW w:w="1345" w:type="dxa"/>
            <w:vAlign w:val="center"/>
          </w:tcPr>
          <w:p w14:paraId="683DCD70">
            <w:pPr>
              <w:jc w:val="center"/>
              <w:rPr>
                <w:rFonts w:ascii="宋体" w:hAnsi="宋体" w:cs="宋体"/>
                <w:bCs/>
                <w:szCs w:val="28"/>
              </w:rPr>
            </w:pPr>
            <w:r>
              <w:rPr>
                <w:rFonts w:hint="eastAsia" w:ascii="宋体" w:hAnsi="宋体" w:cs="宋体"/>
                <w:bCs/>
                <w:szCs w:val="28"/>
              </w:rPr>
              <w:t>医疗器械</w:t>
            </w:r>
            <w:r>
              <w:rPr>
                <w:rFonts w:hint="eastAsia" w:ascii="宋体" w:hAnsi="宋体" w:cs="宋体"/>
                <w:bCs/>
                <w:szCs w:val="28"/>
                <w:lang w:val="de-DE"/>
              </w:rPr>
              <w:t>注册证名称</w:t>
            </w:r>
          </w:p>
        </w:tc>
        <w:tc>
          <w:tcPr>
            <w:tcW w:w="1657" w:type="dxa"/>
            <w:vAlign w:val="center"/>
          </w:tcPr>
          <w:p w14:paraId="41709DBD">
            <w:pPr>
              <w:jc w:val="center"/>
              <w:rPr>
                <w:rFonts w:ascii="宋体" w:hAnsi="宋体" w:cs="宋体"/>
                <w:bCs/>
                <w:szCs w:val="28"/>
              </w:rPr>
            </w:pPr>
            <w:r>
              <w:rPr>
                <w:rFonts w:hint="eastAsia" w:ascii="宋体" w:hAnsi="宋体" w:cs="宋体"/>
                <w:bCs/>
                <w:szCs w:val="28"/>
              </w:rPr>
              <w:t>医疗器械注册证号/有效期</w:t>
            </w:r>
          </w:p>
        </w:tc>
        <w:tc>
          <w:tcPr>
            <w:tcW w:w="1340" w:type="dxa"/>
            <w:vAlign w:val="center"/>
          </w:tcPr>
          <w:p w14:paraId="6DFFD400">
            <w:pPr>
              <w:jc w:val="center"/>
              <w:rPr>
                <w:rFonts w:ascii="宋体" w:hAnsi="宋体" w:cs="宋体"/>
                <w:bCs/>
                <w:szCs w:val="28"/>
              </w:rPr>
            </w:pPr>
            <w:r>
              <w:rPr>
                <w:rFonts w:hint="eastAsia" w:ascii="宋体" w:hAnsi="宋体" w:cs="宋体"/>
                <w:bCs/>
                <w:szCs w:val="28"/>
              </w:rPr>
              <w:t>规格型号</w:t>
            </w:r>
          </w:p>
        </w:tc>
        <w:tc>
          <w:tcPr>
            <w:tcW w:w="920" w:type="dxa"/>
            <w:vAlign w:val="center"/>
          </w:tcPr>
          <w:p w14:paraId="38CE7BD8">
            <w:pPr>
              <w:jc w:val="center"/>
              <w:rPr>
                <w:rFonts w:ascii="宋体" w:hAnsi="宋体" w:cs="宋体"/>
                <w:bCs/>
                <w:szCs w:val="28"/>
              </w:rPr>
            </w:pPr>
            <w:r>
              <w:rPr>
                <w:rFonts w:hint="eastAsia" w:ascii="宋体" w:hAnsi="宋体" w:cs="宋体"/>
                <w:bCs/>
                <w:szCs w:val="28"/>
              </w:rPr>
              <w:t>生产厂家</w:t>
            </w:r>
          </w:p>
        </w:tc>
        <w:tc>
          <w:tcPr>
            <w:tcW w:w="787" w:type="dxa"/>
            <w:vAlign w:val="center"/>
          </w:tcPr>
          <w:p w14:paraId="76AAD89F">
            <w:pPr>
              <w:ind w:right="-207" w:rightChars="-74"/>
              <w:rPr>
                <w:rFonts w:ascii="宋体" w:hAnsi="宋体" w:cs="宋体"/>
                <w:bCs/>
                <w:szCs w:val="28"/>
              </w:rPr>
            </w:pPr>
            <w:r>
              <w:rPr>
                <w:rFonts w:hint="eastAsia" w:ascii="宋体" w:hAnsi="宋体" w:cs="宋体"/>
                <w:bCs/>
                <w:szCs w:val="28"/>
              </w:rPr>
              <w:t>产地</w:t>
            </w:r>
          </w:p>
        </w:tc>
        <w:tc>
          <w:tcPr>
            <w:tcW w:w="2267" w:type="dxa"/>
            <w:vAlign w:val="center"/>
          </w:tcPr>
          <w:p w14:paraId="2A7952CD">
            <w:pPr>
              <w:jc w:val="center"/>
              <w:rPr>
                <w:rFonts w:ascii="宋体" w:hAnsi="宋体" w:cs="宋体"/>
                <w:bCs/>
                <w:szCs w:val="28"/>
              </w:rPr>
            </w:pPr>
            <w:r>
              <w:rPr>
                <w:rFonts w:hint="eastAsia" w:ascii="宋体" w:hAnsi="宋体" w:cs="宋体"/>
                <w:bCs/>
                <w:szCs w:val="28"/>
              </w:rPr>
              <w:t>药交所平台挂网最低价/计价单位</w:t>
            </w:r>
          </w:p>
        </w:tc>
        <w:tc>
          <w:tcPr>
            <w:tcW w:w="776" w:type="dxa"/>
            <w:vAlign w:val="center"/>
          </w:tcPr>
          <w:p w14:paraId="0FB2A5CD">
            <w:pPr>
              <w:jc w:val="center"/>
              <w:rPr>
                <w:rFonts w:ascii="宋体" w:hAnsi="宋体" w:cs="宋体"/>
                <w:bCs/>
                <w:szCs w:val="28"/>
              </w:rPr>
            </w:pPr>
            <w:r>
              <w:rPr>
                <w:rFonts w:hint="eastAsia" w:ascii="宋体" w:hAnsi="宋体" w:cs="宋体"/>
                <w:bCs/>
                <w:szCs w:val="28"/>
              </w:rPr>
              <w:t>计数单位</w:t>
            </w:r>
          </w:p>
        </w:tc>
        <w:tc>
          <w:tcPr>
            <w:tcW w:w="1270" w:type="dxa"/>
            <w:vAlign w:val="center"/>
          </w:tcPr>
          <w:p w14:paraId="648A2F2E">
            <w:pPr>
              <w:jc w:val="center"/>
              <w:rPr>
                <w:rFonts w:ascii="宋体" w:hAnsi="宋体" w:cs="宋体"/>
                <w:bCs/>
                <w:szCs w:val="28"/>
              </w:rPr>
            </w:pPr>
            <w:r>
              <w:rPr>
                <w:rFonts w:hint="eastAsia" w:ascii="宋体" w:hAnsi="宋体" w:cs="宋体"/>
                <w:bCs/>
                <w:szCs w:val="28"/>
              </w:rPr>
              <w:t>线上报价</w:t>
            </w:r>
          </w:p>
          <w:p w14:paraId="12BAE34A">
            <w:pPr>
              <w:jc w:val="center"/>
              <w:rPr>
                <w:rFonts w:ascii="宋体" w:hAnsi="宋体" w:cs="宋体"/>
                <w:bCs/>
                <w:szCs w:val="28"/>
              </w:rPr>
            </w:pPr>
            <w:r>
              <w:rPr>
                <w:rFonts w:hint="eastAsia" w:ascii="宋体" w:hAnsi="宋体" w:cs="宋体"/>
                <w:bCs/>
                <w:szCs w:val="28"/>
              </w:rPr>
              <w:t>（元/人份）</w:t>
            </w:r>
          </w:p>
        </w:tc>
        <w:tc>
          <w:tcPr>
            <w:tcW w:w="1200" w:type="dxa"/>
            <w:vAlign w:val="center"/>
          </w:tcPr>
          <w:p w14:paraId="192685EB">
            <w:pPr>
              <w:jc w:val="center"/>
              <w:rPr>
                <w:rFonts w:ascii="宋体" w:hAnsi="宋体" w:cs="宋体"/>
                <w:bCs/>
                <w:szCs w:val="28"/>
              </w:rPr>
            </w:pPr>
            <w:r>
              <w:rPr>
                <w:rFonts w:hint="eastAsia" w:ascii="宋体" w:hAnsi="宋体" w:cs="宋体"/>
                <w:bCs/>
                <w:szCs w:val="28"/>
              </w:rPr>
              <w:t>备案采购报价（元/人份）</w:t>
            </w:r>
          </w:p>
        </w:tc>
        <w:tc>
          <w:tcPr>
            <w:tcW w:w="1303" w:type="dxa"/>
            <w:vAlign w:val="center"/>
          </w:tcPr>
          <w:p w14:paraId="1F72E5DB">
            <w:pPr>
              <w:jc w:val="center"/>
              <w:rPr>
                <w:rFonts w:ascii="宋体" w:hAnsi="宋体" w:cs="宋体"/>
                <w:bCs/>
                <w:szCs w:val="28"/>
              </w:rPr>
            </w:pPr>
            <w:r>
              <w:rPr>
                <w:rFonts w:hint="eastAsia" w:ascii="宋体" w:hAnsi="宋体" w:cs="宋体"/>
                <w:bCs/>
                <w:szCs w:val="28"/>
              </w:rPr>
              <w:t>总价</w:t>
            </w:r>
          </w:p>
        </w:tc>
        <w:tc>
          <w:tcPr>
            <w:tcW w:w="684" w:type="dxa"/>
            <w:vAlign w:val="center"/>
          </w:tcPr>
          <w:p w14:paraId="533ECC65">
            <w:pPr>
              <w:jc w:val="center"/>
              <w:rPr>
                <w:rFonts w:ascii="宋体" w:hAnsi="宋体" w:cs="宋体"/>
                <w:bCs/>
                <w:szCs w:val="28"/>
              </w:rPr>
            </w:pPr>
            <w:r>
              <w:rPr>
                <w:rFonts w:hint="eastAsia" w:ascii="宋体" w:hAnsi="宋体" w:cs="宋体"/>
                <w:bCs/>
                <w:szCs w:val="28"/>
              </w:rPr>
              <w:t>备注</w:t>
            </w:r>
          </w:p>
        </w:tc>
      </w:tr>
      <w:tr w14:paraId="04C3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A9B3C91">
            <w:pPr>
              <w:spacing w:line="480" w:lineRule="auto"/>
              <w:jc w:val="center"/>
              <w:rPr>
                <w:rFonts w:ascii="宋体" w:hAnsi="宋体" w:cs="宋体"/>
                <w:szCs w:val="28"/>
                <w:lang w:val="de-DE"/>
              </w:rPr>
            </w:pPr>
          </w:p>
        </w:tc>
        <w:tc>
          <w:tcPr>
            <w:tcW w:w="930" w:type="dxa"/>
            <w:vAlign w:val="center"/>
          </w:tcPr>
          <w:p w14:paraId="659E8212">
            <w:pPr>
              <w:spacing w:line="480" w:lineRule="auto"/>
              <w:jc w:val="center"/>
              <w:rPr>
                <w:rFonts w:ascii="宋体" w:hAnsi="宋体" w:cs="宋体"/>
                <w:szCs w:val="28"/>
                <w:lang w:val="de-DE"/>
              </w:rPr>
            </w:pPr>
          </w:p>
        </w:tc>
        <w:tc>
          <w:tcPr>
            <w:tcW w:w="930" w:type="dxa"/>
            <w:vAlign w:val="center"/>
          </w:tcPr>
          <w:p w14:paraId="203FF46A">
            <w:pPr>
              <w:spacing w:line="480" w:lineRule="auto"/>
              <w:jc w:val="center"/>
              <w:rPr>
                <w:rFonts w:ascii="宋体" w:hAnsi="宋体" w:cs="宋体"/>
                <w:szCs w:val="28"/>
                <w:lang w:val="de-DE"/>
              </w:rPr>
            </w:pPr>
          </w:p>
        </w:tc>
        <w:tc>
          <w:tcPr>
            <w:tcW w:w="1345" w:type="dxa"/>
            <w:vAlign w:val="center"/>
          </w:tcPr>
          <w:p w14:paraId="41052DCD">
            <w:pPr>
              <w:spacing w:line="480" w:lineRule="auto"/>
              <w:jc w:val="center"/>
              <w:rPr>
                <w:rFonts w:ascii="宋体" w:hAnsi="宋体" w:cs="宋体"/>
                <w:szCs w:val="28"/>
                <w:lang w:val="de-DE"/>
              </w:rPr>
            </w:pPr>
          </w:p>
        </w:tc>
        <w:tc>
          <w:tcPr>
            <w:tcW w:w="1657" w:type="dxa"/>
            <w:vAlign w:val="center"/>
          </w:tcPr>
          <w:p w14:paraId="43FF494D">
            <w:pPr>
              <w:spacing w:line="480" w:lineRule="auto"/>
              <w:jc w:val="center"/>
              <w:rPr>
                <w:rFonts w:ascii="宋体" w:hAnsi="宋体" w:cs="宋体"/>
                <w:szCs w:val="28"/>
              </w:rPr>
            </w:pPr>
          </w:p>
        </w:tc>
        <w:tc>
          <w:tcPr>
            <w:tcW w:w="1340" w:type="dxa"/>
            <w:vAlign w:val="center"/>
          </w:tcPr>
          <w:p w14:paraId="3EE835C2">
            <w:pPr>
              <w:spacing w:line="480" w:lineRule="auto"/>
              <w:jc w:val="center"/>
              <w:rPr>
                <w:rFonts w:ascii="宋体" w:hAnsi="宋体" w:cs="宋体"/>
                <w:szCs w:val="28"/>
              </w:rPr>
            </w:pPr>
          </w:p>
        </w:tc>
        <w:tc>
          <w:tcPr>
            <w:tcW w:w="920" w:type="dxa"/>
            <w:vAlign w:val="center"/>
          </w:tcPr>
          <w:p w14:paraId="4C8E60C8">
            <w:pPr>
              <w:spacing w:line="480" w:lineRule="auto"/>
              <w:jc w:val="center"/>
              <w:rPr>
                <w:rFonts w:ascii="宋体" w:hAnsi="宋体" w:cs="宋体"/>
                <w:szCs w:val="28"/>
              </w:rPr>
            </w:pPr>
          </w:p>
        </w:tc>
        <w:tc>
          <w:tcPr>
            <w:tcW w:w="787" w:type="dxa"/>
            <w:vAlign w:val="center"/>
          </w:tcPr>
          <w:p w14:paraId="3A36BC22">
            <w:pPr>
              <w:spacing w:line="480" w:lineRule="auto"/>
              <w:ind w:right="538" w:rightChars="192"/>
              <w:jc w:val="center"/>
              <w:rPr>
                <w:rFonts w:ascii="宋体" w:hAnsi="宋体" w:cs="宋体"/>
                <w:szCs w:val="28"/>
              </w:rPr>
            </w:pPr>
          </w:p>
        </w:tc>
        <w:tc>
          <w:tcPr>
            <w:tcW w:w="2267" w:type="dxa"/>
            <w:vAlign w:val="center"/>
          </w:tcPr>
          <w:p w14:paraId="6847BF6A">
            <w:pPr>
              <w:spacing w:line="480" w:lineRule="auto"/>
              <w:jc w:val="center"/>
              <w:rPr>
                <w:rFonts w:ascii="宋体" w:hAnsi="宋体" w:cs="宋体"/>
                <w:szCs w:val="28"/>
              </w:rPr>
            </w:pPr>
            <w:r>
              <w:rPr>
                <w:rFonts w:hint="eastAsia" w:ascii="宋体" w:hAnsi="宋体" w:cs="宋体"/>
                <w:szCs w:val="28"/>
              </w:rPr>
              <w:t xml:space="preserve"> </w:t>
            </w:r>
          </w:p>
        </w:tc>
        <w:tc>
          <w:tcPr>
            <w:tcW w:w="776" w:type="dxa"/>
            <w:vAlign w:val="center"/>
          </w:tcPr>
          <w:p w14:paraId="09827EFC">
            <w:pPr>
              <w:spacing w:line="480" w:lineRule="auto"/>
              <w:jc w:val="center"/>
              <w:rPr>
                <w:rFonts w:ascii="宋体" w:hAnsi="宋体" w:cs="宋体"/>
                <w:szCs w:val="28"/>
              </w:rPr>
            </w:pPr>
          </w:p>
        </w:tc>
        <w:tc>
          <w:tcPr>
            <w:tcW w:w="1270" w:type="dxa"/>
            <w:vAlign w:val="center"/>
          </w:tcPr>
          <w:p w14:paraId="71A2C153">
            <w:pPr>
              <w:spacing w:line="480" w:lineRule="auto"/>
              <w:jc w:val="center"/>
              <w:rPr>
                <w:rFonts w:ascii="宋体" w:hAnsi="宋体" w:cs="宋体"/>
                <w:szCs w:val="28"/>
              </w:rPr>
            </w:pPr>
          </w:p>
        </w:tc>
        <w:tc>
          <w:tcPr>
            <w:tcW w:w="1200" w:type="dxa"/>
            <w:vAlign w:val="center"/>
          </w:tcPr>
          <w:p w14:paraId="0EE05CD3">
            <w:pPr>
              <w:spacing w:line="480" w:lineRule="auto"/>
              <w:jc w:val="center"/>
              <w:rPr>
                <w:rFonts w:ascii="宋体" w:hAnsi="宋体" w:cs="宋体"/>
                <w:szCs w:val="28"/>
              </w:rPr>
            </w:pPr>
          </w:p>
        </w:tc>
        <w:tc>
          <w:tcPr>
            <w:tcW w:w="1303" w:type="dxa"/>
            <w:vMerge w:val="restart"/>
            <w:vAlign w:val="center"/>
          </w:tcPr>
          <w:p w14:paraId="48452500">
            <w:pPr>
              <w:spacing w:line="480" w:lineRule="auto"/>
              <w:jc w:val="center"/>
              <w:rPr>
                <w:rFonts w:ascii="宋体" w:hAnsi="宋体" w:cs="宋体"/>
                <w:szCs w:val="28"/>
              </w:rPr>
            </w:pPr>
            <w:r>
              <w:rPr>
                <w:rFonts w:hint="eastAsia" w:ascii="宋体" w:hAnsi="宋体" w:cs="宋体"/>
                <w:sz w:val="18"/>
                <w:szCs w:val="18"/>
              </w:rPr>
              <w:t>按</w:t>
            </w:r>
            <w:r>
              <w:rPr>
                <w:rFonts w:ascii="宋体" w:hAnsi="宋体" w:cs="宋体"/>
                <w:sz w:val="18"/>
                <w:szCs w:val="18"/>
              </w:rPr>
              <w:t xml:space="preserve"> 32 </w:t>
            </w:r>
            <w:r>
              <w:rPr>
                <w:rFonts w:hint="eastAsia" w:ascii="宋体" w:hAnsi="宋体" w:cs="宋体"/>
                <w:sz w:val="18"/>
                <w:szCs w:val="18"/>
              </w:rPr>
              <w:t>个项目分别报价，并汇总投标总价</w:t>
            </w:r>
          </w:p>
        </w:tc>
        <w:tc>
          <w:tcPr>
            <w:tcW w:w="684" w:type="dxa"/>
            <w:vAlign w:val="center"/>
          </w:tcPr>
          <w:p w14:paraId="199A1013">
            <w:pPr>
              <w:spacing w:line="480" w:lineRule="auto"/>
              <w:jc w:val="center"/>
              <w:rPr>
                <w:rFonts w:ascii="宋体" w:hAnsi="宋体" w:cs="宋体"/>
                <w:szCs w:val="28"/>
              </w:rPr>
            </w:pPr>
          </w:p>
        </w:tc>
      </w:tr>
      <w:tr w14:paraId="559B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EF9327C">
            <w:pPr>
              <w:spacing w:line="480" w:lineRule="auto"/>
              <w:jc w:val="center"/>
              <w:rPr>
                <w:rFonts w:ascii="宋体" w:hAnsi="宋体" w:cs="宋体"/>
                <w:szCs w:val="28"/>
                <w:lang w:val="de-DE"/>
              </w:rPr>
            </w:pPr>
          </w:p>
        </w:tc>
        <w:tc>
          <w:tcPr>
            <w:tcW w:w="930" w:type="dxa"/>
            <w:vAlign w:val="center"/>
          </w:tcPr>
          <w:p w14:paraId="291DB83E">
            <w:pPr>
              <w:spacing w:line="480" w:lineRule="auto"/>
              <w:jc w:val="center"/>
              <w:rPr>
                <w:rFonts w:ascii="宋体" w:hAnsi="宋体" w:cs="宋体"/>
                <w:szCs w:val="28"/>
                <w:lang w:val="de-DE"/>
              </w:rPr>
            </w:pPr>
          </w:p>
        </w:tc>
        <w:tc>
          <w:tcPr>
            <w:tcW w:w="930" w:type="dxa"/>
            <w:vAlign w:val="center"/>
          </w:tcPr>
          <w:p w14:paraId="29BD647C">
            <w:pPr>
              <w:spacing w:line="480" w:lineRule="auto"/>
              <w:jc w:val="center"/>
              <w:rPr>
                <w:rFonts w:ascii="宋体" w:hAnsi="宋体" w:cs="宋体"/>
                <w:szCs w:val="28"/>
                <w:lang w:val="de-DE"/>
              </w:rPr>
            </w:pPr>
          </w:p>
        </w:tc>
        <w:tc>
          <w:tcPr>
            <w:tcW w:w="1345" w:type="dxa"/>
            <w:vAlign w:val="center"/>
          </w:tcPr>
          <w:p w14:paraId="43F521D4">
            <w:pPr>
              <w:spacing w:line="480" w:lineRule="auto"/>
              <w:jc w:val="center"/>
              <w:rPr>
                <w:rFonts w:ascii="宋体" w:hAnsi="宋体" w:cs="宋体"/>
                <w:szCs w:val="28"/>
                <w:lang w:val="de-DE"/>
              </w:rPr>
            </w:pPr>
          </w:p>
        </w:tc>
        <w:tc>
          <w:tcPr>
            <w:tcW w:w="1657" w:type="dxa"/>
            <w:vAlign w:val="center"/>
          </w:tcPr>
          <w:p w14:paraId="5DB52BE2">
            <w:pPr>
              <w:spacing w:line="480" w:lineRule="auto"/>
              <w:jc w:val="center"/>
              <w:rPr>
                <w:rFonts w:ascii="宋体" w:hAnsi="宋体" w:cs="宋体"/>
                <w:szCs w:val="28"/>
              </w:rPr>
            </w:pPr>
          </w:p>
        </w:tc>
        <w:tc>
          <w:tcPr>
            <w:tcW w:w="1340" w:type="dxa"/>
            <w:vAlign w:val="center"/>
          </w:tcPr>
          <w:p w14:paraId="5B90A245">
            <w:pPr>
              <w:spacing w:line="480" w:lineRule="auto"/>
              <w:jc w:val="center"/>
              <w:rPr>
                <w:rFonts w:ascii="宋体" w:hAnsi="宋体" w:cs="宋体"/>
                <w:szCs w:val="28"/>
              </w:rPr>
            </w:pPr>
          </w:p>
        </w:tc>
        <w:tc>
          <w:tcPr>
            <w:tcW w:w="920" w:type="dxa"/>
            <w:vAlign w:val="center"/>
          </w:tcPr>
          <w:p w14:paraId="74ED78C4">
            <w:pPr>
              <w:spacing w:line="480" w:lineRule="auto"/>
              <w:jc w:val="center"/>
              <w:rPr>
                <w:rFonts w:ascii="宋体" w:hAnsi="宋体" w:cs="宋体"/>
                <w:szCs w:val="28"/>
              </w:rPr>
            </w:pPr>
          </w:p>
        </w:tc>
        <w:tc>
          <w:tcPr>
            <w:tcW w:w="787" w:type="dxa"/>
            <w:vAlign w:val="center"/>
          </w:tcPr>
          <w:p w14:paraId="0106C431">
            <w:pPr>
              <w:spacing w:line="480" w:lineRule="auto"/>
              <w:jc w:val="center"/>
              <w:rPr>
                <w:rFonts w:ascii="宋体" w:hAnsi="宋体" w:cs="宋体"/>
                <w:szCs w:val="28"/>
              </w:rPr>
            </w:pPr>
          </w:p>
        </w:tc>
        <w:tc>
          <w:tcPr>
            <w:tcW w:w="2267" w:type="dxa"/>
            <w:vAlign w:val="center"/>
          </w:tcPr>
          <w:p w14:paraId="2CE97907">
            <w:pPr>
              <w:spacing w:line="480" w:lineRule="auto"/>
              <w:jc w:val="center"/>
              <w:rPr>
                <w:rFonts w:ascii="宋体" w:hAnsi="宋体" w:cs="宋体"/>
                <w:szCs w:val="28"/>
              </w:rPr>
            </w:pPr>
          </w:p>
        </w:tc>
        <w:tc>
          <w:tcPr>
            <w:tcW w:w="776" w:type="dxa"/>
            <w:vAlign w:val="center"/>
          </w:tcPr>
          <w:p w14:paraId="155B89D1">
            <w:pPr>
              <w:spacing w:line="480" w:lineRule="auto"/>
              <w:jc w:val="center"/>
              <w:rPr>
                <w:rFonts w:ascii="宋体" w:hAnsi="宋体" w:cs="宋体"/>
                <w:szCs w:val="28"/>
              </w:rPr>
            </w:pPr>
          </w:p>
        </w:tc>
        <w:tc>
          <w:tcPr>
            <w:tcW w:w="1270" w:type="dxa"/>
            <w:vAlign w:val="center"/>
          </w:tcPr>
          <w:p w14:paraId="546A928C">
            <w:pPr>
              <w:spacing w:line="480" w:lineRule="auto"/>
              <w:jc w:val="center"/>
              <w:rPr>
                <w:rFonts w:ascii="宋体" w:hAnsi="宋体" w:cs="宋体"/>
                <w:szCs w:val="28"/>
              </w:rPr>
            </w:pPr>
          </w:p>
        </w:tc>
        <w:tc>
          <w:tcPr>
            <w:tcW w:w="1200" w:type="dxa"/>
            <w:vAlign w:val="center"/>
          </w:tcPr>
          <w:p w14:paraId="1737613B">
            <w:pPr>
              <w:spacing w:line="480" w:lineRule="auto"/>
              <w:jc w:val="center"/>
              <w:rPr>
                <w:rFonts w:ascii="宋体" w:hAnsi="宋体" w:cs="宋体"/>
                <w:szCs w:val="28"/>
              </w:rPr>
            </w:pPr>
          </w:p>
        </w:tc>
        <w:tc>
          <w:tcPr>
            <w:tcW w:w="1303" w:type="dxa"/>
            <w:vMerge w:val="continue"/>
            <w:vAlign w:val="center"/>
          </w:tcPr>
          <w:p w14:paraId="3A2299C2">
            <w:pPr>
              <w:spacing w:line="480" w:lineRule="auto"/>
              <w:jc w:val="center"/>
              <w:rPr>
                <w:rFonts w:ascii="宋体" w:hAnsi="宋体" w:cs="宋体"/>
                <w:szCs w:val="28"/>
              </w:rPr>
            </w:pPr>
          </w:p>
        </w:tc>
        <w:tc>
          <w:tcPr>
            <w:tcW w:w="684" w:type="dxa"/>
            <w:vAlign w:val="center"/>
          </w:tcPr>
          <w:p w14:paraId="7856625B">
            <w:pPr>
              <w:spacing w:line="480" w:lineRule="auto"/>
              <w:jc w:val="center"/>
              <w:rPr>
                <w:rFonts w:ascii="宋体" w:hAnsi="宋体" w:cs="宋体"/>
                <w:szCs w:val="28"/>
              </w:rPr>
            </w:pPr>
          </w:p>
        </w:tc>
      </w:tr>
    </w:tbl>
    <w:p w14:paraId="04DF6B0E">
      <w:pPr>
        <w:tabs>
          <w:tab w:val="left" w:pos="6300"/>
        </w:tabs>
        <w:snapToGrid w:val="0"/>
        <w:spacing w:line="312" w:lineRule="auto"/>
        <w:ind w:firstLine="560" w:firstLineChars="200"/>
        <w:rPr>
          <w:rFonts w:ascii="宋体" w:hAnsi="宋体" w:cs="宋体"/>
          <w:szCs w:val="28"/>
        </w:rPr>
      </w:pPr>
    </w:p>
    <w:p w14:paraId="4C60D14C">
      <w:pPr>
        <w:tabs>
          <w:tab w:val="left" w:pos="6300"/>
        </w:tabs>
        <w:snapToGrid w:val="0"/>
        <w:spacing w:line="312" w:lineRule="auto"/>
        <w:ind w:firstLine="4480" w:firstLineChars="1600"/>
        <w:rPr>
          <w:rFonts w:ascii="宋体" w:hAnsi="宋体" w:cs="宋体"/>
          <w:szCs w:val="28"/>
        </w:rPr>
      </w:pPr>
      <w:r>
        <w:rPr>
          <w:rFonts w:hint="eastAsia" w:ascii="宋体" w:hAnsi="宋体" w:cs="宋体"/>
          <w:szCs w:val="28"/>
        </w:rPr>
        <w:t>竞选人                                   法定代表人授权代表：</w:t>
      </w:r>
    </w:p>
    <w:p w14:paraId="07DCB501">
      <w:pPr>
        <w:tabs>
          <w:tab w:val="left" w:pos="6300"/>
        </w:tabs>
        <w:snapToGrid w:val="0"/>
        <w:spacing w:line="312" w:lineRule="auto"/>
        <w:ind w:firstLine="560" w:firstLineChars="200"/>
        <w:rPr>
          <w:rFonts w:ascii="宋体" w:hAnsi="宋体" w:cs="宋体"/>
          <w:szCs w:val="28"/>
        </w:rPr>
      </w:pPr>
      <w:r>
        <w:rPr>
          <w:rFonts w:hint="eastAsia" w:ascii="宋体" w:hAnsi="宋体" w:cs="宋体"/>
          <w:szCs w:val="28"/>
        </w:rPr>
        <w:t xml:space="preserve">                            （竞选人公章）                               （签字或盖章）</w:t>
      </w:r>
    </w:p>
    <w:p w14:paraId="62A09406">
      <w:pPr>
        <w:tabs>
          <w:tab w:val="left" w:pos="6300"/>
        </w:tabs>
        <w:snapToGrid w:val="0"/>
        <w:spacing w:line="312" w:lineRule="auto"/>
        <w:ind w:firstLine="560" w:firstLineChars="200"/>
        <w:rPr>
          <w:rFonts w:ascii="宋体" w:hAnsi="宋体" w:cs="宋体"/>
          <w:szCs w:val="28"/>
        </w:rPr>
      </w:pPr>
    </w:p>
    <w:p w14:paraId="42DDEEF5">
      <w:pPr>
        <w:tabs>
          <w:tab w:val="left" w:pos="6300"/>
        </w:tabs>
        <w:snapToGrid w:val="0"/>
        <w:spacing w:line="312" w:lineRule="auto"/>
        <w:ind w:firstLine="560" w:firstLineChars="200"/>
        <w:rPr>
          <w:rFonts w:ascii="宋体" w:hAnsi="宋体" w:cs="宋体"/>
          <w:szCs w:val="28"/>
        </w:rPr>
      </w:pPr>
      <w:r>
        <w:rPr>
          <w:rFonts w:hint="eastAsia" w:ascii="宋体" w:hAnsi="宋体" w:cs="宋体"/>
          <w:szCs w:val="28"/>
        </w:rPr>
        <w:t xml:space="preserve">                                                                                  年     月     日</w:t>
      </w:r>
    </w:p>
    <w:p w14:paraId="3CD1E9A3">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color w:val="auto"/>
          <w:sz w:val="28"/>
          <w:szCs w:val="28"/>
          <w:lang w:val="en-US" w:eastAsia="zh-CN"/>
        </w:rPr>
        <w:t>注：每人份价格需要包含除检测试剂外的定标液、质控品、清洗液、反应杯等其他所有配套耗材。</w:t>
      </w:r>
    </w:p>
    <w:p w14:paraId="62501C3A">
      <w:pPr>
        <w:pStyle w:val="2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0965F792">
      <w:pPr>
        <w:pStyle w:val="22"/>
        <w:rPr>
          <w:rFonts w:hint="eastAsia"/>
        </w:rPr>
      </w:pPr>
    </w:p>
    <w:p w14:paraId="2BF56AD7">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13ECB209">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3ABC98D3">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320AF735">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55C9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A78364">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7CE86A54">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7DCE8D1A">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4505A9CC">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32AF01C">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7737076F">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4B62F868">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C9281C8">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34611C22">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298769B6">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297C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5489457">
            <w:pPr>
              <w:spacing w:line="400" w:lineRule="exact"/>
              <w:jc w:val="center"/>
              <w:rPr>
                <w:rFonts w:ascii="楷体" w:hAnsi="楷体" w:eastAsia="楷体"/>
                <w:color w:val="000000"/>
                <w:szCs w:val="28"/>
              </w:rPr>
            </w:pPr>
          </w:p>
        </w:tc>
        <w:tc>
          <w:tcPr>
            <w:tcW w:w="530" w:type="pct"/>
            <w:noWrap w:val="0"/>
            <w:vAlign w:val="center"/>
          </w:tcPr>
          <w:p w14:paraId="3739F94B">
            <w:pPr>
              <w:spacing w:line="400" w:lineRule="exact"/>
              <w:jc w:val="center"/>
              <w:rPr>
                <w:rFonts w:ascii="楷体" w:hAnsi="楷体" w:eastAsia="楷体"/>
                <w:color w:val="000000"/>
                <w:szCs w:val="28"/>
              </w:rPr>
            </w:pPr>
          </w:p>
        </w:tc>
        <w:tc>
          <w:tcPr>
            <w:tcW w:w="584" w:type="pct"/>
            <w:noWrap w:val="0"/>
            <w:vAlign w:val="top"/>
          </w:tcPr>
          <w:p w14:paraId="1DACB6CF">
            <w:pPr>
              <w:spacing w:line="400" w:lineRule="exact"/>
              <w:jc w:val="center"/>
              <w:rPr>
                <w:rFonts w:ascii="楷体" w:hAnsi="楷体" w:eastAsia="楷体"/>
                <w:color w:val="000000"/>
                <w:szCs w:val="28"/>
              </w:rPr>
            </w:pPr>
          </w:p>
        </w:tc>
        <w:tc>
          <w:tcPr>
            <w:tcW w:w="463" w:type="pct"/>
            <w:noWrap w:val="0"/>
            <w:vAlign w:val="center"/>
          </w:tcPr>
          <w:p w14:paraId="6CAB861E">
            <w:pPr>
              <w:spacing w:line="400" w:lineRule="exact"/>
              <w:jc w:val="center"/>
              <w:rPr>
                <w:rFonts w:ascii="楷体" w:hAnsi="楷体" w:eastAsia="楷体"/>
                <w:color w:val="000000"/>
                <w:szCs w:val="28"/>
              </w:rPr>
            </w:pPr>
          </w:p>
        </w:tc>
        <w:tc>
          <w:tcPr>
            <w:tcW w:w="439" w:type="pct"/>
            <w:noWrap w:val="0"/>
            <w:vAlign w:val="center"/>
          </w:tcPr>
          <w:p w14:paraId="77BDE858">
            <w:pPr>
              <w:spacing w:line="400" w:lineRule="exact"/>
              <w:jc w:val="center"/>
              <w:rPr>
                <w:rFonts w:ascii="楷体" w:hAnsi="楷体" w:eastAsia="楷体"/>
                <w:color w:val="000000"/>
                <w:szCs w:val="28"/>
              </w:rPr>
            </w:pPr>
          </w:p>
        </w:tc>
        <w:tc>
          <w:tcPr>
            <w:tcW w:w="540" w:type="pct"/>
            <w:noWrap w:val="0"/>
            <w:vAlign w:val="center"/>
          </w:tcPr>
          <w:p w14:paraId="6F344FCA">
            <w:pPr>
              <w:spacing w:line="400" w:lineRule="exact"/>
              <w:jc w:val="center"/>
              <w:rPr>
                <w:rFonts w:ascii="楷体" w:hAnsi="楷体" w:eastAsia="楷体"/>
                <w:color w:val="000000"/>
                <w:szCs w:val="28"/>
              </w:rPr>
            </w:pPr>
          </w:p>
        </w:tc>
        <w:tc>
          <w:tcPr>
            <w:tcW w:w="733" w:type="pct"/>
            <w:noWrap w:val="0"/>
            <w:vAlign w:val="center"/>
          </w:tcPr>
          <w:p w14:paraId="38EDE13C">
            <w:pPr>
              <w:spacing w:line="400" w:lineRule="exact"/>
              <w:jc w:val="center"/>
              <w:rPr>
                <w:rFonts w:ascii="楷体" w:hAnsi="楷体" w:eastAsia="楷体"/>
                <w:color w:val="000000"/>
                <w:szCs w:val="28"/>
              </w:rPr>
            </w:pPr>
          </w:p>
        </w:tc>
        <w:tc>
          <w:tcPr>
            <w:tcW w:w="999" w:type="pct"/>
            <w:noWrap w:val="0"/>
            <w:vAlign w:val="center"/>
          </w:tcPr>
          <w:p w14:paraId="708CE11E">
            <w:pPr>
              <w:spacing w:line="400" w:lineRule="exact"/>
              <w:jc w:val="center"/>
              <w:rPr>
                <w:rFonts w:ascii="楷体" w:hAnsi="楷体" w:eastAsia="楷体"/>
                <w:color w:val="000000"/>
                <w:szCs w:val="28"/>
              </w:rPr>
            </w:pPr>
          </w:p>
        </w:tc>
      </w:tr>
      <w:tr w14:paraId="722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618206B7">
            <w:pPr>
              <w:spacing w:line="400" w:lineRule="exact"/>
              <w:jc w:val="center"/>
              <w:rPr>
                <w:rFonts w:ascii="楷体" w:hAnsi="楷体" w:eastAsia="楷体"/>
                <w:color w:val="000000"/>
                <w:szCs w:val="28"/>
              </w:rPr>
            </w:pPr>
          </w:p>
        </w:tc>
        <w:tc>
          <w:tcPr>
            <w:tcW w:w="530" w:type="pct"/>
            <w:noWrap w:val="0"/>
            <w:vAlign w:val="center"/>
          </w:tcPr>
          <w:p w14:paraId="4B8A4AE1">
            <w:pPr>
              <w:spacing w:line="400" w:lineRule="exact"/>
              <w:jc w:val="center"/>
              <w:rPr>
                <w:rFonts w:ascii="楷体" w:hAnsi="楷体" w:eastAsia="楷体"/>
                <w:color w:val="000000"/>
                <w:szCs w:val="28"/>
              </w:rPr>
            </w:pPr>
          </w:p>
        </w:tc>
        <w:tc>
          <w:tcPr>
            <w:tcW w:w="584" w:type="pct"/>
            <w:noWrap w:val="0"/>
            <w:vAlign w:val="top"/>
          </w:tcPr>
          <w:p w14:paraId="1525C795">
            <w:pPr>
              <w:spacing w:line="400" w:lineRule="exact"/>
              <w:jc w:val="center"/>
              <w:rPr>
                <w:rFonts w:ascii="楷体" w:hAnsi="楷体" w:eastAsia="楷体"/>
                <w:color w:val="000000"/>
                <w:szCs w:val="28"/>
              </w:rPr>
            </w:pPr>
          </w:p>
        </w:tc>
        <w:tc>
          <w:tcPr>
            <w:tcW w:w="463" w:type="pct"/>
            <w:noWrap w:val="0"/>
            <w:vAlign w:val="center"/>
          </w:tcPr>
          <w:p w14:paraId="34F343ED">
            <w:pPr>
              <w:spacing w:line="400" w:lineRule="exact"/>
              <w:jc w:val="center"/>
              <w:rPr>
                <w:rFonts w:ascii="楷体" w:hAnsi="楷体" w:eastAsia="楷体"/>
                <w:color w:val="000000"/>
                <w:szCs w:val="28"/>
              </w:rPr>
            </w:pPr>
          </w:p>
        </w:tc>
        <w:tc>
          <w:tcPr>
            <w:tcW w:w="439" w:type="pct"/>
            <w:noWrap w:val="0"/>
            <w:vAlign w:val="center"/>
          </w:tcPr>
          <w:p w14:paraId="5DAFCD86">
            <w:pPr>
              <w:spacing w:line="400" w:lineRule="exact"/>
              <w:jc w:val="center"/>
              <w:rPr>
                <w:rFonts w:ascii="楷体" w:hAnsi="楷体" w:eastAsia="楷体"/>
                <w:color w:val="000000"/>
                <w:szCs w:val="28"/>
              </w:rPr>
            </w:pPr>
          </w:p>
        </w:tc>
        <w:tc>
          <w:tcPr>
            <w:tcW w:w="540" w:type="pct"/>
            <w:noWrap w:val="0"/>
            <w:vAlign w:val="center"/>
          </w:tcPr>
          <w:p w14:paraId="57FBDD41">
            <w:pPr>
              <w:spacing w:line="400" w:lineRule="exact"/>
              <w:jc w:val="center"/>
              <w:rPr>
                <w:rFonts w:ascii="楷体" w:hAnsi="楷体" w:eastAsia="楷体"/>
                <w:color w:val="000000"/>
                <w:szCs w:val="28"/>
              </w:rPr>
            </w:pPr>
          </w:p>
        </w:tc>
        <w:tc>
          <w:tcPr>
            <w:tcW w:w="733" w:type="pct"/>
            <w:noWrap w:val="0"/>
            <w:vAlign w:val="center"/>
          </w:tcPr>
          <w:p w14:paraId="1D4E97F5">
            <w:pPr>
              <w:spacing w:line="400" w:lineRule="exact"/>
              <w:jc w:val="center"/>
              <w:rPr>
                <w:rFonts w:ascii="楷体" w:hAnsi="楷体" w:eastAsia="楷体"/>
                <w:color w:val="000000"/>
                <w:szCs w:val="28"/>
              </w:rPr>
            </w:pPr>
          </w:p>
        </w:tc>
        <w:tc>
          <w:tcPr>
            <w:tcW w:w="999" w:type="pct"/>
            <w:noWrap w:val="0"/>
            <w:vAlign w:val="center"/>
          </w:tcPr>
          <w:p w14:paraId="22D0EC45">
            <w:pPr>
              <w:spacing w:line="400" w:lineRule="exact"/>
              <w:jc w:val="center"/>
              <w:rPr>
                <w:rFonts w:ascii="楷体" w:hAnsi="楷体" w:eastAsia="楷体"/>
                <w:color w:val="000000"/>
                <w:szCs w:val="28"/>
              </w:rPr>
            </w:pPr>
          </w:p>
        </w:tc>
      </w:tr>
      <w:tr w14:paraId="5AD1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A014EAC">
            <w:pPr>
              <w:spacing w:line="400" w:lineRule="exact"/>
              <w:jc w:val="center"/>
              <w:rPr>
                <w:rFonts w:ascii="楷体" w:hAnsi="楷体" w:eastAsia="楷体"/>
                <w:color w:val="000000"/>
                <w:szCs w:val="28"/>
              </w:rPr>
            </w:pPr>
          </w:p>
        </w:tc>
        <w:tc>
          <w:tcPr>
            <w:tcW w:w="530" w:type="pct"/>
            <w:noWrap w:val="0"/>
            <w:vAlign w:val="center"/>
          </w:tcPr>
          <w:p w14:paraId="7EBF2AE0">
            <w:pPr>
              <w:spacing w:line="400" w:lineRule="exact"/>
              <w:jc w:val="center"/>
              <w:rPr>
                <w:rFonts w:ascii="楷体" w:hAnsi="楷体" w:eastAsia="楷体"/>
                <w:color w:val="000000"/>
                <w:szCs w:val="28"/>
              </w:rPr>
            </w:pPr>
          </w:p>
        </w:tc>
        <w:tc>
          <w:tcPr>
            <w:tcW w:w="584" w:type="pct"/>
            <w:noWrap w:val="0"/>
            <w:vAlign w:val="top"/>
          </w:tcPr>
          <w:p w14:paraId="237CC162">
            <w:pPr>
              <w:spacing w:line="400" w:lineRule="exact"/>
              <w:jc w:val="center"/>
              <w:rPr>
                <w:rFonts w:ascii="楷体" w:hAnsi="楷体" w:eastAsia="楷体"/>
                <w:color w:val="000000"/>
                <w:szCs w:val="28"/>
              </w:rPr>
            </w:pPr>
          </w:p>
        </w:tc>
        <w:tc>
          <w:tcPr>
            <w:tcW w:w="463" w:type="pct"/>
            <w:noWrap w:val="0"/>
            <w:vAlign w:val="center"/>
          </w:tcPr>
          <w:p w14:paraId="687ADA45">
            <w:pPr>
              <w:spacing w:line="400" w:lineRule="exact"/>
              <w:jc w:val="center"/>
              <w:rPr>
                <w:rFonts w:ascii="楷体" w:hAnsi="楷体" w:eastAsia="楷体"/>
                <w:color w:val="000000"/>
                <w:szCs w:val="28"/>
              </w:rPr>
            </w:pPr>
          </w:p>
        </w:tc>
        <w:tc>
          <w:tcPr>
            <w:tcW w:w="439" w:type="pct"/>
            <w:noWrap w:val="0"/>
            <w:vAlign w:val="center"/>
          </w:tcPr>
          <w:p w14:paraId="311C2246">
            <w:pPr>
              <w:spacing w:line="400" w:lineRule="exact"/>
              <w:jc w:val="center"/>
              <w:rPr>
                <w:rFonts w:ascii="楷体" w:hAnsi="楷体" w:eastAsia="楷体"/>
                <w:color w:val="000000"/>
                <w:szCs w:val="28"/>
              </w:rPr>
            </w:pPr>
          </w:p>
        </w:tc>
        <w:tc>
          <w:tcPr>
            <w:tcW w:w="540" w:type="pct"/>
            <w:noWrap w:val="0"/>
            <w:vAlign w:val="center"/>
          </w:tcPr>
          <w:p w14:paraId="51762238">
            <w:pPr>
              <w:spacing w:line="400" w:lineRule="exact"/>
              <w:jc w:val="center"/>
              <w:rPr>
                <w:rFonts w:ascii="楷体" w:hAnsi="楷体" w:eastAsia="楷体"/>
                <w:color w:val="000000"/>
                <w:szCs w:val="28"/>
              </w:rPr>
            </w:pPr>
          </w:p>
        </w:tc>
        <w:tc>
          <w:tcPr>
            <w:tcW w:w="733" w:type="pct"/>
            <w:noWrap w:val="0"/>
            <w:vAlign w:val="center"/>
          </w:tcPr>
          <w:p w14:paraId="076A43B4">
            <w:pPr>
              <w:spacing w:line="400" w:lineRule="exact"/>
              <w:jc w:val="center"/>
              <w:rPr>
                <w:rFonts w:ascii="楷体" w:hAnsi="楷体" w:eastAsia="楷体"/>
                <w:color w:val="000000"/>
                <w:szCs w:val="28"/>
              </w:rPr>
            </w:pPr>
          </w:p>
        </w:tc>
        <w:tc>
          <w:tcPr>
            <w:tcW w:w="999" w:type="pct"/>
            <w:noWrap w:val="0"/>
            <w:vAlign w:val="center"/>
          </w:tcPr>
          <w:p w14:paraId="73CAD5F3">
            <w:pPr>
              <w:spacing w:line="400" w:lineRule="exact"/>
              <w:jc w:val="center"/>
              <w:rPr>
                <w:rFonts w:ascii="楷体" w:hAnsi="楷体" w:eastAsia="楷体"/>
                <w:color w:val="000000"/>
                <w:szCs w:val="28"/>
              </w:rPr>
            </w:pPr>
          </w:p>
        </w:tc>
      </w:tr>
      <w:tr w14:paraId="2DD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FEE1BBB">
            <w:pPr>
              <w:spacing w:line="400" w:lineRule="exact"/>
              <w:jc w:val="center"/>
              <w:rPr>
                <w:rFonts w:ascii="楷体" w:hAnsi="楷体" w:eastAsia="楷体"/>
                <w:color w:val="000000"/>
                <w:szCs w:val="28"/>
              </w:rPr>
            </w:pPr>
          </w:p>
        </w:tc>
        <w:tc>
          <w:tcPr>
            <w:tcW w:w="530" w:type="pct"/>
            <w:noWrap w:val="0"/>
            <w:vAlign w:val="center"/>
          </w:tcPr>
          <w:p w14:paraId="1F4456AD">
            <w:pPr>
              <w:spacing w:line="400" w:lineRule="exact"/>
              <w:jc w:val="center"/>
              <w:rPr>
                <w:rFonts w:ascii="楷体" w:hAnsi="楷体" w:eastAsia="楷体"/>
                <w:color w:val="000000"/>
                <w:szCs w:val="28"/>
              </w:rPr>
            </w:pPr>
          </w:p>
        </w:tc>
        <w:tc>
          <w:tcPr>
            <w:tcW w:w="584" w:type="pct"/>
            <w:noWrap w:val="0"/>
            <w:vAlign w:val="top"/>
          </w:tcPr>
          <w:p w14:paraId="124998BF">
            <w:pPr>
              <w:spacing w:line="400" w:lineRule="exact"/>
              <w:jc w:val="center"/>
              <w:rPr>
                <w:rFonts w:ascii="楷体" w:hAnsi="楷体" w:eastAsia="楷体"/>
                <w:color w:val="000000"/>
                <w:szCs w:val="28"/>
              </w:rPr>
            </w:pPr>
          </w:p>
        </w:tc>
        <w:tc>
          <w:tcPr>
            <w:tcW w:w="463" w:type="pct"/>
            <w:noWrap w:val="0"/>
            <w:vAlign w:val="center"/>
          </w:tcPr>
          <w:p w14:paraId="2C612D08">
            <w:pPr>
              <w:spacing w:line="400" w:lineRule="exact"/>
              <w:jc w:val="center"/>
              <w:rPr>
                <w:rFonts w:ascii="楷体" w:hAnsi="楷体" w:eastAsia="楷体"/>
                <w:color w:val="000000"/>
                <w:szCs w:val="28"/>
              </w:rPr>
            </w:pPr>
          </w:p>
        </w:tc>
        <w:tc>
          <w:tcPr>
            <w:tcW w:w="439" w:type="pct"/>
            <w:noWrap w:val="0"/>
            <w:vAlign w:val="center"/>
          </w:tcPr>
          <w:p w14:paraId="6E7E5ACF">
            <w:pPr>
              <w:spacing w:line="400" w:lineRule="exact"/>
              <w:jc w:val="center"/>
              <w:rPr>
                <w:rFonts w:ascii="楷体" w:hAnsi="楷体" w:eastAsia="楷体"/>
                <w:color w:val="000000"/>
                <w:szCs w:val="28"/>
              </w:rPr>
            </w:pPr>
          </w:p>
        </w:tc>
        <w:tc>
          <w:tcPr>
            <w:tcW w:w="540" w:type="pct"/>
            <w:noWrap w:val="0"/>
            <w:vAlign w:val="center"/>
          </w:tcPr>
          <w:p w14:paraId="59DF4968">
            <w:pPr>
              <w:spacing w:line="400" w:lineRule="exact"/>
              <w:jc w:val="center"/>
              <w:rPr>
                <w:rFonts w:ascii="楷体" w:hAnsi="楷体" w:eastAsia="楷体"/>
                <w:color w:val="000000"/>
                <w:szCs w:val="28"/>
              </w:rPr>
            </w:pPr>
          </w:p>
        </w:tc>
        <w:tc>
          <w:tcPr>
            <w:tcW w:w="733" w:type="pct"/>
            <w:noWrap w:val="0"/>
            <w:vAlign w:val="center"/>
          </w:tcPr>
          <w:p w14:paraId="25AF796F">
            <w:pPr>
              <w:spacing w:line="400" w:lineRule="exact"/>
              <w:jc w:val="center"/>
              <w:rPr>
                <w:rFonts w:ascii="楷体" w:hAnsi="楷体" w:eastAsia="楷体"/>
                <w:color w:val="000000"/>
                <w:szCs w:val="28"/>
              </w:rPr>
            </w:pPr>
          </w:p>
        </w:tc>
        <w:tc>
          <w:tcPr>
            <w:tcW w:w="999" w:type="pct"/>
            <w:noWrap w:val="0"/>
            <w:vAlign w:val="center"/>
          </w:tcPr>
          <w:p w14:paraId="55B43479">
            <w:pPr>
              <w:spacing w:line="400" w:lineRule="exact"/>
              <w:jc w:val="center"/>
              <w:rPr>
                <w:rFonts w:ascii="楷体" w:hAnsi="楷体" w:eastAsia="楷体"/>
                <w:color w:val="000000"/>
                <w:szCs w:val="28"/>
              </w:rPr>
            </w:pPr>
          </w:p>
        </w:tc>
      </w:tr>
      <w:tr w14:paraId="307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ACD020">
            <w:pPr>
              <w:spacing w:line="400" w:lineRule="exact"/>
              <w:jc w:val="center"/>
              <w:rPr>
                <w:rFonts w:ascii="楷体" w:hAnsi="楷体" w:eastAsia="楷体"/>
                <w:color w:val="000000"/>
                <w:szCs w:val="28"/>
              </w:rPr>
            </w:pPr>
          </w:p>
        </w:tc>
        <w:tc>
          <w:tcPr>
            <w:tcW w:w="530" w:type="pct"/>
            <w:noWrap w:val="0"/>
            <w:vAlign w:val="center"/>
          </w:tcPr>
          <w:p w14:paraId="4E03D92D">
            <w:pPr>
              <w:spacing w:line="400" w:lineRule="exact"/>
              <w:jc w:val="center"/>
              <w:rPr>
                <w:rFonts w:ascii="楷体" w:hAnsi="楷体" w:eastAsia="楷体"/>
                <w:color w:val="000000"/>
                <w:szCs w:val="28"/>
              </w:rPr>
            </w:pPr>
          </w:p>
        </w:tc>
        <w:tc>
          <w:tcPr>
            <w:tcW w:w="584" w:type="pct"/>
            <w:noWrap w:val="0"/>
            <w:vAlign w:val="top"/>
          </w:tcPr>
          <w:p w14:paraId="203CC23A">
            <w:pPr>
              <w:spacing w:line="400" w:lineRule="exact"/>
              <w:jc w:val="center"/>
              <w:rPr>
                <w:rFonts w:ascii="楷体" w:hAnsi="楷体" w:eastAsia="楷体"/>
                <w:color w:val="000000"/>
                <w:szCs w:val="28"/>
              </w:rPr>
            </w:pPr>
          </w:p>
        </w:tc>
        <w:tc>
          <w:tcPr>
            <w:tcW w:w="463" w:type="pct"/>
            <w:noWrap w:val="0"/>
            <w:vAlign w:val="center"/>
          </w:tcPr>
          <w:p w14:paraId="2F1D7105">
            <w:pPr>
              <w:spacing w:line="400" w:lineRule="exact"/>
              <w:jc w:val="center"/>
              <w:rPr>
                <w:rFonts w:ascii="楷体" w:hAnsi="楷体" w:eastAsia="楷体"/>
                <w:color w:val="000000"/>
                <w:szCs w:val="28"/>
              </w:rPr>
            </w:pPr>
          </w:p>
        </w:tc>
        <w:tc>
          <w:tcPr>
            <w:tcW w:w="439" w:type="pct"/>
            <w:noWrap w:val="0"/>
            <w:vAlign w:val="center"/>
          </w:tcPr>
          <w:p w14:paraId="2BF590FB">
            <w:pPr>
              <w:spacing w:line="400" w:lineRule="exact"/>
              <w:jc w:val="center"/>
              <w:rPr>
                <w:rFonts w:ascii="楷体" w:hAnsi="楷体" w:eastAsia="楷体"/>
                <w:color w:val="000000"/>
                <w:szCs w:val="28"/>
              </w:rPr>
            </w:pPr>
          </w:p>
        </w:tc>
        <w:tc>
          <w:tcPr>
            <w:tcW w:w="540" w:type="pct"/>
            <w:noWrap w:val="0"/>
            <w:vAlign w:val="center"/>
          </w:tcPr>
          <w:p w14:paraId="76590410">
            <w:pPr>
              <w:spacing w:line="400" w:lineRule="exact"/>
              <w:jc w:val="center"/>
              <w:rPr>
                <w:rFonts w:ascii="楷体" w:hAnsi="楷体" w:eastAsia="楷体"/>
                <w:color w:val="000000"/>
                <w:szCs w:val="28"/>
              </w:rPr>
            </w:pPr>
          </w:p>
        </w:tc>
        <w:tc>
          <w:tcPr>
            <w:tcW w:w="733" w:type="pct"/>
            <w:noWrap w:val="0"/>
            <w:vAlign w:val="center"/>
          </w:tcPr>
          <w:p w14:paraId="6B1A8DF5">
            <w:pPr>
              <w:spacing w:line="400" w:lineRule="exact"/>
              <w:jc w:val="center"/>
              <w:rPr>
                <w:rFonts w:ascii="楷体" w:hAnsi="楷体" w:eastAsia="楷体"/>
                <w:color w:val="000000"/>
                <w:szCs w:val="28"/>
              </w:rPr>
            </w:pPr>
          </w:p>
        </w:tc>
        <w:tc>
          <w:tcPr>
            <w:tcW w:w="999" w:type="pct"/>
            <w:noWrap w:val="0"/>
            <w:vAlign w:val="center"/>
          </w:tcPr>
          <w:p w14:paraId="1CB30532">
            <w:pPr>
              <w:spacing w:line="400" w:lineRule="exact"/>
              <w:jc w:val="center"/>
              <w:rPr>
                <w:rFonts w:ascii="楷体" w:hAnsi="楷体" w:eastAsia="楷体"/>
                <w:color w:val="000000"/>
                <w:szCs w:val="28"/>
              </w:rPr>
            </w:pPr>
          </w:p>
        </w:tc>
      </w:tr>
      <w:tr w14:paraId="636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D2BF237">
            <w:pPr>
              <w:spacing w:line="400" w:lineRule="exact"/>
              <w:rPr>
                <w:rFonts w:ascii="楷体" w:hAnsi="楷体" w:eastAsia="楷体"/>
                <w:color w:val="000000"/>
                <w:szCs w:val="28"/>
              </w:rPr>
            </w:pPr>
          </w:p>
        </w:tc>
        <w:tc>
          <w:tcPr>
            <w:tcW w:w="530" w:type="pct"/>
            <w:noWrap w:val="0"/>
            <w:vAlign w:val="center"/>
          </w:tcPr>
          <w:p w14:paraId="43BF5D77">
            <w:pPr>
              <w:spacing w:line="400" w:lineRule="exact"/>
              <w:rPr>
                <w:rFonts w:ascii="楷体" w:hAnsi="楷体" w:eastAsia="楷体"/>
                <w:color w:val="000000"/>
                <w:szCs w:val="28"/>
              </w:rPr>
            </w:pPr>
          </w:p>
        </w:tc>
        <w:tc>
          <w:tcPr>
            <w:tcW w:w="584" w:type="pct"/>
            <w:noWrap w:val="0"/>
            <w:vAlign w:val="top"/>
          </w:tcPr>
          <w:p w14:paraId="411387CF">
            <w:pPr>
              <w:spacing w:line="400" w:lineRule="exact"/>
              <w:rPr>
                <w:rFonts w:ascii="楷体" w:hAnsi="楷体" w:eastAsia="楷体"/>
                <w:color w:val="000000"/>
                <w:szCs w:val="28"/>
              </w:rPr>
            </w:pPr>
          </w:p>
        </w:tc>
        <w:tc>
          <w:tcPr>
            <w:tcW w:w="463" w:type="pct"/>
            <w:noWrap w:val="0"/>
            <w:vAlign w:val="center"/>
          </w:tcPr>
          <w:p w14:paraId="35C5E47F">
            <w:pPr>
              <w:spacing w:line="400" w:lineRule="exact"/>
              <w:rPr>
                <w:rFonts w:ascii="楷体" w:hAnsi="楷体" w:eastAsia="楷体"/>
                <w:color w:val="000000"/>
                <w:szCs w:val="28"/>
              </w:rPr>
            </w:pPr>
          </w:p>
        </w:tc>
        <w:tc>
          <w:tcPr>
            <w:tcW w:w="439" w:type="pct"/>
            <w:noWrap w:val="0"/>
            <w:vAlign w:val="center"/>
          </w:tcPr>
          <w:p w14:paraId="040780A1">
            <w:pPr>
              <w:spacing w:line="400" w:lineRule="exact"/>
              <w:rPr>
                <w:rFonts w:ascii="楷体" w:hAnsi="楷体" w:eastAsia="楷体"/>
                <w:color w:val="000000"/>
                <w:szCs w:val="28"/>
              </w:rPr>
            </w:pPr>
          </w:p>
        </w:tc>
        <w:tc>
          <w:tcPr>
            <w:tcW w:w="540" w:type="pct"/>
            <w:noWrap w:val="0"/>
            <w:vAlign w:val="center"/>
          </w:tcPr>
          <w:p w14:paraId="2EF42120">
            <w:pPr>
              <w:spacing w:line="400" w:lineRule="exact"/>
              <w:rPr>
                <w:rFonts w:ascii="楷体" w:hAnsi="楷体" w:eastAsia="楷体"/>
                <w:color w:val="000000"/>
                <w:szCs w:val="28"/>
              </w:rPr>
            </w:pPr>
          </w:p>
        </w:tc>
        <w:tc>
          <w:tcPr>
            <w:tcW w:w="733" w:type="pct"/>
            <w:noWrap w:val="0"/>
            <w:vAlign w:val="center"/>
          </w:tcPr>
          <w:p w14:paraId="58D9FEB7">
            <w:pPr>
              <w:spacing w:line="400" w:lineRule="exact"/>
              <w:rPr>
                <w:rFonts w:ascii="楷体" w:hAnsi="楷体" w:eastAsia="楷体"/>
                <w:color w:val="000000"/>
                <w:szCs w:val="28"/>
              </w:rPr>
            </w:pPr>
          </w:p>
        </w:tc>
        <w:tc>
          <w:tcPr>
            <w:tcW w:w="999" w:type="pct"/>
            <w:noWrap w:val="0"/>
            <w:vAlign w:val="center"/>
          </w:tcPr>
          <w:p w14:paraId="476B7D25">
            <w:pPr>
              <w:spacing w:line="400" w:lineRule="exact"/>
              <w:rPr>
                <w:rFonts w:ascii="楷体" w:hAnsi="楷体" w:eastAsia="楷体"/>
                <w:color w:val="000000"/>
                <w:szCs w:val="28"/>
              </w:rPr>
            </w:pPr>
          </w:p>
        </w:tc>
      </w:tr>
      <w:tr w14:paraId="37F0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56B44805">
            <w:pPr>
              <w:spacing w:line="400" w:lineRule="exact"/>
              <w:rPr>
                <w:rFonts w:ascii="楷体" w:hAnsi="楷体" w:eastAsia="楷体"/>
                <w:color w:val="000000"/>
                <w:szCs w:val="28"/>
              </w:rPr>
            </w:pPr>
          </w:p>
        </w:tc>
        <w:tc>
          <w:tcPr>
            <w:tcW w:w="4290" w:type="pct"/>
            <w:gridSpan w:val="7"/>
            <w:noWrap w:val="0"/>
            <w:vAlign w:val="center"/>
          </w:tcPr>
          <w:p w14:paraId="17F982F0">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0D98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FA5D3C1">
            <w:pPr>
              <w:spacing w:line="400" w:lineRule="exact"/>
              <w:rPr>
                <w:rFonts w:ascii="楷体" w:hAnsi="楷体" w:eastAsia="楷体"/>
                <w:color w:val="000000"/>
                <w:szCs w:val="28"/>
              </w:rPr>
            </w:pPr>
          </w:p>
        </w:tc>
        <w:tc>
          <w:tcPr>
            <w:tcW w:w="4290" w:type="pct"/>
            <w:gridSpan w:val="7"/>
            <w:noWrap w:val="0"/>
            <w:vAlign w:val="center"/>
          </w:tcPr>
          <w:p w14:paraId="58027C5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3D843613">
      <w:pPr>
        <w:pStyle w:val="3"/>
        <w:rPr>
          <w:rFonts w:hint="eastAsia"/>
          <w:color w:val="000000"/>
        </w:rPr>
      </w:pPr>
    </w:p>
    <w:p w14:paraId="3D7DE914">
      <w:pPr>
        <w:rPr>
          <w:rFonts w:hint="eastAsia"/>
          <w:color w:val="000000"/>
        </w:rPr>
      </w:pPr>
    </w:p>
    <w:p w14:paraId="1E8DCCFA">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7021FB61">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180B88E6">
      <w:pPr>
        <w:spacing w:line="500" w:lineRule="exact"/>
        <w:rPr>
          <w:rFonts w:hint="eastAsia" w:ascii="宋体" w:hAnsi="宋体" w:cs="宋体"/>
          <w:color w:val="000000"/>
          <w:sz w:val="24"/>
          <w:szCs w:val="28"/>
        </w:rPr>
      </w:pPr>
    </w:p>
    <w:p w14:paraId="5002A4EE">
      <w:pPr>
        <w:spacing w:line="500" w:lineRule="exact"/>
        <w:rPr>
          <w:rFonts w:hint="eastAsia" w:ascii="宋体" w:hAnsi="宋体" w:cs="宋体"/>
          <w:color w:val="000000"/>
          <w:sz w:val="24"/>
          <w:szCs w:val="28"/>
        </w:rPr>
      </w:pPr>
    </w:p>
    <w:p w14:paraId="3FBF7316">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C04E05A">
      <w:pPr>
        <w:snapToGrid w:val="0"/>
        <w:spacing w:line="500" w:lineRule="exact"/>
        <w:ind w:firstLine="480" w:firstLineChars="200"/>
        <w:rPr>
          <w:rFonts w:hint="eastAsia" w:ascii="宋体" w:hAnsi="宋体" w:cs="宋体"/>
          <w:color w:val="000000"/>
          <w:sz w:val="24"/>
          <w:szCs w:val="28"/>
        </w:rPr>
      </w:pPr>
    </w:p>
    <w:p w14:paraId="7D1B28CD">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6E218531">
      <w:pPr>
        <w:pStyle w:val="2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13B8EAB0">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D7CBF43">
      <w:pPr>
        <w:pStyle w:val="22"/>
        <w:rPr>
          <w:rFonts w:hint="eastAsia" w:ascii="宋体" w:hAnsi="宋体" w:eastAsia="宋体" w:cs="宋体"/>
          <w:kern w:val="2"/>
          <w:sz w:val="24"/>
          <w:szCs w:val="24"/>
          <w:lang w:val="en-US" w:eastAsia="zh-CN" w:bidi="ar-SA"/>
        </w:rPr>
      </w:pPr>
    </w:p>
    <w:p w14:paraId="444CD773">
      <w:pPr>
        <w:pStyle w:val="2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6D91C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308AD4E7">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4EA4F93C">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0B068866">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7CD332A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A9C7F65">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6F75C733">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ED8F83E">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4C224B7E">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DE8C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65191481">
            <w:pPr>
              <w:pStyle w:val="31"/>
              <w:jc w:val="center"/>
              <w:rPr>
                <w:rFonts w:ascii="Arial" w:hAnsi="Arial" w:eastAsia="仿宋_GB2312" w:cs="Arial"/>
                <w:color w:val="000000"/>
              </w:rPr>
            </w:pPr>
          </w:p>
        </w:tc>
        <w:tc>
          <w:tcPr>
            <w:tcW w:w="965" w:type="pct"/>
            <w:noWrap w:val="0"/>
            <w:vAlign w:val="center"/>
          </w:tcPr>
          <w:p w14:paraId="021F524D">
            <w:pPr>
              <w:pStyle w:val="31"/>
              <w:jc w:val="center"/>
              <w:rPr>
                <w:rFonts w:ascii="Arial" w:hAnsi="Arial" w:eastAsia="仿宋_GB2312" w:cs="Arial"/>
                <w:color w:val="000000"/>
              </w:rPr>
            </w:pPr>
          </w:p>
        </w:tc>
        <w:tc>
          <w:tcPr>
            <w:tcW w:w="609" w:type="pct"/>
            <w:noWrap w:val="0"/>
            <w:vAlign w:val="center"/>
          </w:tcPr>
          <w:p w14:paraId="2EC7062B">
            <w:pPr>
              <w:pStyle w:val="31"/>
              <w:jc w:val="center"/>
              <w:rPr>
                <w:rFonts w:ascii="Arial" w:hAnsi="Arial" w:eastAsia="仿宋_GB2312" w:cs="Arial"/>
                <w:color w:val="000000"/>
              </w:rPr>
            </w:pPr>
          </w:p>
        </w:tc>
        <w:tc>
          <w:tcPr>
            <w:tcW w:w="874" w:type="pct"/>
            <w:noWrap w:val="0"/>
            <w:vAlign w:val="top"/>
          </w:tcPr>
          <w:p w14:paraId="762EC882">
            <w:pPr>
              <w:rPr>
                <w:color w:val="000000"/>
              </w:rPr>
            </w:pPr>
          </w:p>
        </w:tc>
        <w:tc>
          <w:tcPr>
            <w:tcW w:w="443" w:type="pct"/>
            <w:noWrap w:val="0"/>
            <w:vAlign w:val="center"/>
          </w:tcPr>
          <w:p w14:paraId="7B3E54FF">
            <w:pPr>
              <w:pStyle w:val="31"/>
              <w:jc w:val="center"/>
              <w:rPr>
                <w:rFonts w:ascii="Arial" w:hAnsi="Arial" w:eastAsia="仿宋_GB2312" w:cs="Arial"/>
                <w:color w:val="000000"/>
              </w:rPr>
            </w:pPr>
          </w:p>
        </w:tc>
        <w:tc>
          <w:tcPr>
            <w:tcW w:w="652" w:type="pct"/>
            <w:noWrap w:val="0"/>
            <w:vAlign w:val="center"/>
          </w:tcPr>
          <w:p w14:paraId="054802A1">
            <w:pPr>
              <w:pStyle w:val="31"/>
              <w:jc w:val="center"/>
              <w:rPr>
                <w:rFonts w:ascii="Arial" w:hAnsi="Arial" w:eastAsia="仿宋_GB2312" w:cs="Arial"/>
                <w:color w:val="000000"/>
              </w:rPr>
            </w:pPr>
          </w:p>
        </w:tc>
        <w:tc>
          <w:tcPr>
            <w:tcW w:w="579" w:type="pct"/>
            <w:noWrap w:val="0"/>
            <w:vAlign w:val="center"/>
          </w:tcPr>
          <w:p w14:paraId="07C83FF6">
            <w:pPr>
              <w:pStyle w:val="31"/>
              <w:jc w:val="center"/>
              <w:rPr>
                <w:rFonts w:ascii="Arial" w:hAnsi="Arial" w:eastAsia="仿宋_GB2312" w:cs="Arial"/>
                <w:color w:val="000000"/>
              </w:rPr>
            </w:pPr>
          </w:p>
        </w:tc>
        <w:tc>
          <w:tcPr>
            <w:tcW w:w="579" w:type="pct"/>
            <w:noWrap w:val="0"/>
            <w:vAlign w:val="center"/>
          </w:tcPr>
          <w:p w14:paraId="63C83468">
            <w:pPr>
              <w:pStyle w:val="31"/>
              <w:jc w:val="center"/>
              <w:rPr>
                <w:rFonts w:ascii="Arial" w:hAnsi="Arial" w:eastAsia="仿宋_GB2312" w:cs="Arial"/>
                <w:color w:val="000000"/>
              </w:rPr>
            </w:pPr>
          </w:p>
        </w:tc>
      </w:tr>
      <w:tr w14:paraId="57AC3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69E96D9A">
            <w:pPr>
              <w:pStyle w:val="31"/>
              <w:jc w:val="center"/>
              <w:rPr>
                <w:rFonts w:ascii="Arial" w:hAnsi="Arial" w:eastAsia="仿宋_GB2312" w:cs="Arial"/>
                <w:color w:val="000000"/>
              </w:rPr>
            </w:pPr>
          </w:p>
        </w:tc>
        <w:tc>
          <w:tcPr>
            <w:tcW w:w="965" w:type="pct"/>
            <w:noWrap w:val="0"/>
            <w:vAlign w:val="center"/>
          </w:tcPr>
          <w:p w14:paraId="6617C985">
            <w:pPr>
              <w:pStyle w:val="31"/>
              <w:jc w:val="center"/>
              <w:rPr>
                <w:rFonts w:ascii="Arial" w:hAnsi="Arial" w:eastAsia="仿宋_GB2312" w:cs="Arial"/>
                <w:color w:val="000000"/>
              </w:rPr>
            </w:pPr>
          </w:p>
        </w:tc>
        <w:tc>
          <w:tcPr>
            <w:tcW w:w="609" w:type="pct"/>
            <w:noWrap w:val="0"/>
            <w:vAlign w:val="center"/>
          </w:tcPr>
          <w:p w14:paraId="14345953">
            <w:pPr>
              <w:pStyle w:val="31"/>
              <w:jc w:val="center"/>
              <w:rPr>
                <w:rFonts w:ascii="Arial" w:hAnsi="Arial" w:eastAsia="仿宋_GB2312" w:cs="Arial"/>
                <w:color w:val="000000"/>
              </w:rPr>
            </w:pPr>
          </w:p>
        </w:tc>
        <w:tc>
          <w:tcPr>
            <w:tcW w:w="874" w:type="pct"/>
            <w:noWrap w:val="0"/>
            <w:vAlign w:val="top"/>
          </w:tcPr>
          <w:p w14:paraId="7B8FE18E">
            <w:pPr>
              <w:rPr>
                <w:color w:val="000000"/>
              </w:rPr>
            </w:pPr>
          </w:p>
        </w:tc>
        <w:tc>
          <w:tcPr>
            <w:tcW w:w="443" w:type="pct"/>
            <w:noWrap w:val="0"/>
            <w:vAlign w:val="center"/>
          </w:tcPr>
          <w:p w14:paraId="579E19ED">
            <w:pPr>
              <w:pStyle w:val="31"/>
              <w:jc w:val="center"/>
              <w:rPr>
                <w:rFonts w:ascii="Arial" w:hAnsi="Arial" w:eastAsia="仿宋_GB2312" w:cs="Arial"/>
                <w:color w:val="000000"/>
              </w:rPr>
            </w:pPr>
          </w:p>
        </w:tc>
        <w:tc>
          <w:tcPr>
            <w:tcW w:w="652" w:type="pct"/>
            <w:noWrap w:val="0"/>
            <w:vAlign w:val="center"/>
          </w:tcPr>
          <w:p w14:paraId="0FEB62DF">
            <w:pPr>
              <w:pStyle w:val="31"/>
              <w:jc w:val="center"/>
              <w:rPr>
                <w:rFonts w:ascii="Arial" w:hAnsi="Arial" w:eastAsia="仿宋_GB2312" w:cs="Arial"/>
                <w:color w:val="000000"/>
              </w:rPr>
            </w:pPr>
          </w:p>
        </w:tc>
        <w:tc>
          <w:tcPr>
            <w:tcW w:w="579" w:type="pct"/>
            <w:noWrap w:val="0"/>
            <w:vAlign w:val="center"/>
          </w:tcPr>
          <w:p w14:paraId="46292D6F">
            <w:pPr>
              <w:pStyle w:val="31"/>
              <w:jc w:val="center"/>
              <w:rPr>
                <w:rFonts w:ascii="Arial" w:hAnsi="Arial" w:eastAsia="仿宋_GB2312" w:cs="Arial"/>
                <w:color w:val="000000"/>
              </w:rPr>
            </w:pPr>
          </w:p>
        </w:tc>
        <w:tc>
          <w:tcPr>
            <w:tcW w:w="579" w:type="pct"/>
            <w:noWrap w:val="0"/>
            <w:vAlign w:val="center"/>
          </w:tcPr>
          <w:p w14:paraId="6AD988E2">
            <w:pPr>
              <w:pStyle w:val="31"/>
              <w:jc w:val="center"/>
              <w:rPr>
                <w:rFonts w:ascii="Arial" w:hAnsi="Arial" w:eastAsia="仿宋_GB2312" w:cs="Arial"/>
                <w:color w:val="000000"/>
              </w:rPr>
            </w:pPr>
          </w:p>
        </w:tc>
      </w:tr>
      <w:tr w14:paraId="50F5D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34D27DBB">
            <w:pPr>
              <w:pStyle w:val="31"/>
              <w:jc w:val="center"/>
              <w:rPr>
                <w:rFonts w:ascii="Arial" w:hAnsi="Arial" w:eastAsia="仿宋_GB2312" w:cs="Arial"/>
                <w:color w:val="000000"/>
              </w:rPr>
            </w:pPr>
          </w:p>
        </w:tc>
        <w:tc>
          <w:tcPr>
            <w:tcW w:w="965" w:type="pct"/>
            <w:noWrap w:val="0"/>
            <w:vAlign w:val="center"/>
          </w:tcPr>
          <w:p w14:paraId="5075AFE3">
            <w:pPr>
              <w:pStyle w:val="31"/>
              <w:jc w:val="center"/>
              <w:rPr>
                <w:rFonts w:ascii="Arial" w:hAnsi="Arial" w:eastAsia="仿宋_GB2312" w:cs="Arial"/>
                <w:color w:val="000000"/>
              </w:rPr>
            </w:pPr>
          </w:p>
        </w:tc>
        <w:tc>
          <w:tcPr>
            <w:tcW w:w="609" w:type="pct"/>
            <w:noWrap w:val="0"/>
            <w:vAlign w:val="center"/>
          </w:tcPr>
          <w:p w14:paraId="6C77B83C">
            <w:pPr>
              <w:pStyle w:val="31"/>
              <w:jc w:val="center"/>
              <w:rPr>
                <w:rFonts w:ascii="Arial" w:hAnsi="Arial" w:eastAsia="仿宋_GB2312" w:cs="Arial"/>
                <w:color w:val="000000"/>
              </w:rPr>
            </w:pPr>
          </w:p>
        </w:tc>
        <w:tc>
          <w:tcPr>
            <w:tcW w:w="874" w:type="pct"/>
            <w:noWrap w:val="0"/>
            <w:vAlign w:val="top"/>
          </w:tcPr>
          <w:p w14:paraId="27FF873F">
            <w:pPr>
              <w:rPr>
                <w:color w:val="000000"/>
              </w:rPr>
            </w:pPr>
          </w:p>
        </w:tc>
        <w:tc>
          <w:tcPr>
            <w:tcW w:w="443" w:type="pct"/>
            <w:noWrap w:val="0"/>
            <w:vAlign w:val="center"/>
          </w:tcPr>
          <w:p w14:paraId="79942D63">
            <w:pPr>
              <w:pStyle w:val="31"/>
              <w:jc w:val="center"/>
              <w:rPr>
                <w:rFonts w:ascii="Arial" w:hAnsi="Arial" w:eastAsia="仿宋_GB2312" w:cs="Arial"/>
                <w:color w:val="000000"/>
              </w:rPr>
            </w:pPr>
          </w:p>
        </w:tc>
        <w:tc>
          <w:tcPr>
            <w:tcW w:w="652" w:type="pct"/>
            <w:noWrap w:val="0"/>
            <w:vAlign w:val="center"/>
          </w:tcPr>
          <w:p w14:paraId="4EF55211">
            <w:pPr>
              <w:pStyle w:val="31"/>
              <w:jc w:val="center"/>
              <w:rPr>
                <w:rFonts w:ascii="Arial" w:hAnsi="Arial" w:eastAsia="仿宋_GB2312" w:cs="Arial"/>
                <w:color w:val="000000"/>
              </w:rPr>
            </w:pPr>
          </w:p>
        </w:tc>
        <w:tc>
          <w:tcPr>
            <w:tcW w:w="579" w:type="pct"/>
            <w:noWrap w:val="0"/>
            <w:vAlign w:val="center"/>
          </w:tcPr>
          <w:p w14:paraId="26DB7FF3">
            <w:pPr>
              <w:pStyle w:val="31"/>
              <w:jc w:val="center"/>
              <w:rPr>
                <w:rFonts w:ascii="Arial" w:hAnsi="Arial" w:eastAsia="仿宋_GB2312" w:cs="Arial"/>
                <w:color w:val="000000"/>
              </w:rPr>
            </w:pPr>
          </w:p>
        </w:tc>
        <w:tc>
          <w:tcPr>
            <w:tcW w:w="579" w:type="pct"/>
            <w:noWrap w:val="0"/>
            <w:vAlign w:val="center"/>
          </w:tcPr>
          <w:p w14:paraId="573CA19A">
            <w:pPr>
              <w:pStyle w:val="31"/>
              <w:jc w:val="center"/>
              <w:rPr>
                <w:rFonts w:ascii="Arial" w:hAnsi="Arial" w:eastAsia="仿宋_GB2312" w:cs="Arial"/>
                <w:color w:val="000000"/>
              </w:rPr>
            </w:pPr>
          </w:p>
        </w:tc>
      </w:tr>
      <w:tr w14:paraId="35B86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2DF3AE18">
            <w:pPr>
              <w:pStyle w:val="31"/>
              <w:jc w:val="center"/>
              <w:rPr>
                <w:rFonts w:ascii="Arial" w:hAnsi="Arial" w:eastAsia="仿宋_GB2312" w:cs="Arial"/>
                <w:color w:val="000000"/>
              </w:rPr>
            </w:pPr>
          </w:p>
        </w:tc>
        <w:tc>
          <w:tcPr>
            <w:tcW w:w="965" w:type="pct"/>
            <w:noWrap w:val="0"/>
            <w:vAlign w:val="center"/>
          </w:tcPr>
          <w:p w14:paraId="73E9E974">
            <w:pPr>
              <w:pStyle w:val="31"/>
              <w:jc w:val="center"/>
              <w:rPr>
                <w:rFonts w:ascii="Arial" w:hAnsi="Arial" w:eastAsia="仿宋_GB2312" w:cs="Arial"/>
                <w:color w:val="000000"/>
              </w:rPr>
            </w:pPr>
          </w:p>
        </w:tc>
        <w:tc>
          <w:tcPr>
            <w:tcW w:w="609" w:type="pct"/>
            <w:noWrap w:val="0"/>
            <w:vAlign w:val="center"/>
          </w:tcPr>
          <w:p w14:paraId="7C6131FD">
            <w:pPr>
              <w:pStyle w:val="31"/>
              <w:jc w:val="center"/>
              <w:rPr>
                <w:rFonts w:ascii="Arial" w:hAnsi="Arial" w:eastAsia="仿宋_GB2312" w:cs="Arial"/>
                <w:color w:val="000000"/>
              </w:rPr>
            </w:pPr>
          </w:p>
        </w:tc>
        <w:tc>
          <w:tcPr>
            <w:tcW w:w="874" w:type="pct"/>
            <w:noWrap w:val="0"/>
            <w:vAlign w:val="top"/>
          </w:tcPr>
          <w:p w14:paraId="44CA0F96">
            <w:pPr>
              <w:rPr>
                <w:color w:val="000000"/>
              </w:rPr>
            </w:pPr>
          </w:p>
        </w:tc>
        <w:tc>
          <w:tcPr>
            <w:tcW w:w="443" w:type="pct"/>
            <w:noWrap w:val="0"/>
            <w:vAlign w:val="center"/>
          </w:tcPr>
          <w:p w14:paraId="4481FDB2">
            <w:pPr>
              <w:pStyle w:val="31"/>
              <w:jc w:val="center"/>
              <w:rPr>
                <w:rFonts w:ascii="Arial" w:hAnsi="Arial" w:eastAsia="仿宋_GB2312" w:cs="Arial"/>
                <w:color w:val="000000"/>
              </w:rPr>
            </w:pPr>
          </w:p>
        </w:tc>
        <w:tc>
          <w:tcPr>
            <w:tcW w:w="652" w:type="pct"/>
            <w:noWrap w:val="0"/>
            <w:vAlign w:val="center"/>
          </w:tcPr>
          <w:p w14:paraId="6AD54EBE">
            <w:pPr>
              <w:pStyle w:val="31"/>
              <w:jc w:val="center"/>
              <w:rPr>
                <w:rFonts w:ascii="Arial" w:hAnsi="Arial" w:eastAsia="仿宋_GB2312" w:cs="Arial"/>
                <w:color w:val="000000"/>
              </w:rPr>
            </w:pPr>
          </w:p>
        </w:tc>
        <w:tc>
          <w:tcPr>
            <w:tcW w:w="579" w:type="pct"/>
            <w:noWrap w:val="0"/>
            <w:vAlign w:val="center"/>
          </w:tcPr>
          <w:p w14:paraId="76902609">
            <w:pPr>
              <w:pStyle w:val="31"/>
              <w:jc w:val="center"/>
              <w:rPr>
                <w:rFonts w:ascii="Arial" w:hAnsi="Arial" w:eastAsia="仿宋_GB2312" w:cs="Arial"/>
                <w:color w:val="000000"/>
              </w:rPr>
            </w:pPr>
          </w:p>
        </w:tc>
        <w:tc>
          <w:tcPr>
            <w:tcW w:w="579" w:type="pct"/>
            <w:noWrap w:val="0"/>
            <w:vAlign w:val="center"/>
          </w:tcPr>
          <w:p w14:paraId="54841A16">
            <w:pPr>
              <w:pStyle w:val="31"/>
              <w:jc w:val="center"/>
              <w:rPr>
                <w:rFonts w:ascii="Arial" w:hAnsi="Arial" w:eastAsia="仿宋_GB2312" w:cs="Arial"/>
                <w:color w:val="000000"/>
              </w:rPr>
            </w:pPr>
          </w:p>
        </w:tc>
      </w:tr>
      <w:tr w14:paraId="78FF4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43E27F66">
            <w:pPr>
              <w:pStyle w:val="31"/>
              <w:jc w:val="center"/>
              <w:rPr>
                <w:rFonts w:ascii="Arial" w:hAnsi="Arial" w:eastAsia="仿宋_GB2312" w:cs="Arial"/>
                <w:color w:val="000000"/>
              </w:rPr>
            </w:pPr>
          </w:p>
        </w:tc>
        <w:tc>
          <w:tcPr>
            <w:tcW w:w="965" w:type="pct"/>
            <w:noWrap w:val="0"/>
            <w:vAlign w:val="center"/>
          </w:tcPr>
          <w:p w14:paraId="53BF6747">
            <w:pPr>
              <w:pStyle w:val="31"/>
              <w:jc w:val="center"/>
              <w:rPr>
                <w:rFonts w:ascii="Arial" w:hAnsi="Arial" w:eastAsia="仿宋_GB2312" w:cs="Arial"/>
                <w:color w:val="000000"/>
              </w:rPr>
            </w:pPr>
          </w:p>
        </w:tc>
        <w:tc>
          <w:tcPr>
            <w:tcW w:w="609" w:type="pct"/>
            <w:noWrap w:val="0"/>
            <w:vAlign w:val="center"/>
          </w:tcPr>
          <w:p w14:paraId="19F770FA">
            <w:pPr>
              <w:pStyle w:val="31"/>
              <w:jc w:val="center"/>
              <w:rPr>
                <w:rFonts w:ascii="Arial" w:hAnsi="Arial" w:eastAsia="仿宋_GB2312" w:cs="Arial"/>
                <w:color w:val="000000"/>
              </w:rPr>
            </w:pPr>
          </w:p>
        </w:tc>
        <w:tc>
          <w:tcPr>
            <w:tcW w:w="874" w:type="pct"/>
            <w:noWrap w:val="0"/>
            <w:vAlign w:val="top"/>
          </w:tcPr>
          <w:p w14:paraId="46BFF23F">
            <w:pPr>
              <w:rPr>
                <w:color w:val="000000"/>
              </w:rPr>
            </w:pPr>
          </w:p>
        </w:tc>
        <w:tc>
          <w:tcPr>
            <w:tcW w:w="443" w:type="pct"/>
            <w:noWrap w:val="0"/>
            <w:vAlign w:val="center"/>
          </w:tcPr>
          <w:p w14:paraId="42F83315">
            <w:pPr>
              <w:pStyle w:val="31"/>
              <w:jc w:val="center"/>
              <w:rPr>
                <w:rFonts w:ascii="Arial" w:hAnsi="Arial" w:eastAsia="仿宋_GB2312" w:cs="Arial"/>
                <w:color w:val="000000"/>
              </w:rPr>
            </w:pPr>
          </w:p>
        </w:tc>
        <w:tc>
          <w:tcPr>
            <w:tcW w:w="652" w:type="pct"/>
            <w:noWrap w:val="0"/>
            <w:vAlign w:val="center"/>
          </w:tcPr>
          <w:p w14:paraId="48CD45AE">
            <w:pPr>
              <w:pStyle w:val="31"/>
              <w:jc w:val="center"/>
              <w:rPr>
                <w:rFonts w:ascii="Arial" w:hAnsi="Arial" w:eastAsia="仿宋_GB2312" w:cs="Arial"/>
                <w:color w:val="000000"/>
              </w:rPr>
            </w:pPr>
          </w:p>
        </w:tc>
        <w:tc>
          <w:tcPr>
            <w:tcW w:w="579" w:type="pct"/>
            <w:noWrap w:val="0"/>
            <w:vAlign w:val="center"/>
          </w:tcPr>
          <w:p w14:paraId="46BFCD73">
            <w:pPr>
              <w:pStyle w:val="31"/>
              <w:jc w:val="center"/>
              <w:rPr>
                <w:rFonts w:ascii="Arial" w:hAnsi="Arial" w:eastAsia="仿宋_GB2312" w:cs="Arial"/>
                <w:color w:val="000000"/>
              </w:rPr>
            </w:pPr>
          </w:p>
        </w:tc>
        <w:tc>
          <w:tcPr>
            <w:tcW w:w="579" w:type="pct"/>
            <w:noWrap w:val="0"/>
            <w:vAlign w:val="center"/>
          </w:tcPr>
          <w:p w14:paraId="423E5FDC">
            <w:pPr>
              <w:pStyle w:val="31"/>
              <w:jc w:val="center"/>
              <w:rPr>
                <w:rFonts w:ascii="Arial" w:hAnsi="Arial" w:eastAsia="仿宋_GB2312" w:cs="Arial"/>
                <w:color w:val="000000"/>
              </w:rPr>
            </w:pPr>
          </w:p>
        </w:tc>
      </w:tr>
      <w:tr w14:paraId="79CBB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03A1F695">
            <w:pPr>
              <w:pStyle w:val="31"/>
              <w:jc w:val="center"/>
              <w:rPr>
                <w:rFonts w:ascii="Arial" w:hAnsi="Arial" w:eastAsia="仿宋_GB2312" w:cs="Arial"/>
                <w:color w:val="000000"/>
              </w:rPr>
            </w:pPr>
          </w:p>
        </w:tc>
        <w:tc>
          <w:tcPr>
            <w:tcW w:w="965" w:type="pct"/>
            <w:noWrap w:val="0"/>
            <w:vAlign w:val="center"/>
          </w:tcPr>
          <w:p w14:paraId="34F7B62C">
            <w:pPr>
              <w:pStyle w:val="31"/>
              <w:jc w:val="center"/>
              <w:rPr>
                <w:rFonts w:ascii="Arial" w:hAnsi="Arial" w:eastAsia="仿宋_GB2312" w:cs="Arial"/>
                <w:color w:val="000000"/>
              </w:rPr>
            </w:pPr>
          </w:p>
        </w:tc>
        <w:tc>
          <w:tcPr>
            <w:tcW w:w="609" w:type="pct"/>
            <w:noWrap w:val="0"/>
            <w:vAlign w:val="center"/>
          </w:tcPr>
          <w:p w14:paraId="4E782FBE">
            <w:pPr>
              <w:pStyle w:val="31"/>
              <w:jc w:val="center"/>
              <w:rPr>
                <w:rFonts w:ascii="Arial" w:hAnsi="Arial" w:eastAsia="仿宋_GB2312" w:cs="Arial"/>
                <w:color w:val="000000"/>
              </w:rPr>
            </w:pPr>
          </w:p>
        </w:tc>
        <w:tc>
          <w:tcPr>
            <w:tcW w:w="874" w:type="pct"/>
            <w:noWrap w:val="0"/>
            <w:vAlign w:val="top"/>
          </w:tcPr>
          <w:p w14:paraId="562D765D">
            <w:pPr>
              <w:rPr>
                <w:color w:val="000000"/>
              </w:rPr>
            </w:pPr>
          </w:p>
        </w:tc>
        <w:tc>
          <w:tcPr>
            <w:tcW w:w="443" w:type="pct"/>
            <w:noWrap w:val="0"/>
            <w:vAlign w:val="center"/>
          </w:tcPr>
          <w:p w14:paraId="4E95A94A">
            <w:pPr>
              <w:pStyle w:val="31"/>
              <w:jc w:val="center"/>
              <w:rPr>
                <w:rFonts w:ascii="Arial" w:hAnsi="Arial" w:eastAsia="仿宋_GB2312" w:cs="Arial"/>
                <w:color w:val="000000"/>
              </w:rPr>
            </w:pPr>
          </w:p>
        </w:tc>
        <w:tc>
          <w:tcPr>
            <w:tcW w:w="652" w:type="pct"/>
            <w:noWrap w:val="0"/>
            <w:vAlign w:val="center"/>
          </w:tcPr>
          <w:p w14:paraId="553914D0">
            <w:pPr>
              <w:pStyle w:val="31"/>
              <w:jc w:val="center"/>
              <w:rPr>
                <w:rFonts w:ascii="Arial" w:hAnsi="Arial" w:eastAsia="仿宋_GB2312" w:cs="Arial"/>
                <w:color w:val="000000"/>
              </w:rPr>
            </w:pPr>
          </w:p>
        </w:tc>
        <w:tc>
          <w:tcPr>
            <w:tcW w:w="579" w:type="pct"/>
            <w:noWrap w:val="0"/>
            <w:vAlign w:val="center"/>
          </w:tcPr>
          <w:p w14:paraId="39612BE2">
            <w:pPr>
              <w:pStyle w:val="31"/>
              <w:jc w:val="center"/>
              <w:rPr>
                <w:rFonts w:ascii="Arial" w:hAnsi="Arial" w:eastAsia="仿宋_GB2312" w:cs="Arial"/>
                <w:color w:val="000000"/>
              </w:rPr>
            </w:pPr>
          </w:p>
        </w:tc>
        <w:tc>
          <w:tcPr>
            <w:tcW w:w="579" w:type="pct"/>
            <w:noWrap w:val="0"/>
            <w:vAlign w:val="center"/>
          </w:tcPr>
          <w:p w14:paraId="513C9DA0">
            <w:pPr>
              <w:pStyle w:val="31"/>
              <w:jc w:val="center"/>
              <w:rPr>
                <w:rFonts w:ascii="Arial" w:hAnsi="Arial" w:eastAsia="仿宋_GB2312" w:cs="Arial"/>
                <w:color w:val="000000"/>
              </w:rPr>
            </w:pPr>
          </w:p>
        </w:tc>
      </w:tr>
    </w:tbl>
    <w:p w14:paraId="3BD48393">
      <w:pPr>
        <w:pStyle w:val="15"/>
        <w:ind w:firstLine="0"/>
        <w:rPr>
          <w:color w:val="000000"/>
        </w:rPr>
      </w:pPr>
    </w:p>
    <w:p w14:paraId="1FFDD0B0">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007CB79F">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4A48763D">
      <w:pPr>
        <w:pStyle w:val="57"/>
        <w:rPr>
          <w:rFonts w:hint="eastAsia"/>
          <w:color w:val="000000"/>
        </w:rPr>
      </w:pPr>
    </w:p>
    <w:p w14:paraId="3AF8A876">
      <w:pPr>
        <w:rPr>
          <w:rFonts w:hint="eastAsia"/>
          <w:color w:val="000000"/>
        </w:rPr>
      </w:pPr>
    </w:p>
    <w:p w14:paraId="53E221BB">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76373909"/>
      <w:bookmarkStart w:id="171" w:name="_Toc21431"/>
      <w:bookmarkStart w:id="172" w:name="_Toc21830"/>
      <w:bookmarkStart w:id="173" w:name="_Toc9795"/>
      <w:bookmarkStart w:id="174" w:name="_Toc49317879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493178791"/>
      <w:bookmarkStart w:id="180" w:name="_Toc12647"/>
      <w:bookmarkStart w:id="181" w:name="_Toc20875"/>
      <w:bookmarkStart w:id="182" w:name="_Toc20258"/>
      <w:bookmarkStart w:id="183" w:name="_Toc16487"/>
      <w:bookmarkStart w:id="184" w:name="_Toc76373910"/>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76373912"/>
      <w:bookmarkStart w:id="189" w:name="_Toc4250"/>
      <w:bookmarkStart w:id="190" w:name="_Toc492721038"/>
      <w:bookmarkStart w:id="191" w:name="_Toc493178793"/>
      <w:bookmarkStart w:id="192" w:name="_Toc20605"/>
      <w:bookmarkStart w:id="193" w:name="_Toc19291"/>
      <w:bookmarkStart w:id="194" w:name="_Toc8925"/>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footerReference r:id="rId12" w:type="default"/>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4A45D4-7F92-4270-A700-B0C1E28394F7}"/>
  </w:font>
  <w:font w:name="黑体">
    <w:panose1 w:val="02010609060101010101"/>
    <w:charset w:val="86"/>
    <w:family w:val="auto"/>
    <w:pitch w:val="default"/>
    <w:sig w:usb0="800002BF" w:usb1="38CF7CFA" w:usb2="00000016" w:usb3="00000000" w:csb0="00040001" w:csb1="00000000"/>
    <w:embedRegular r:id="rId2" w:fontKey="{66BAD87B-838B-40B4-91EF-AC44BEDAC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F57AE9CD-6317-4AD5-96EA-68C056ACF46B}"/>
  </w:font>
  <w:font w:name="Arial Unicode MS">
    <w:panose1 w:val="020B0604020202020204"/>
    <w:charset w:val="86"/>
    <w:family w:val="roman"/>
    <w:pitch w:val="default"/>
    <w:sig w:usb0="FFFFFFFF" w:usb1="E9FFFFFF" w:usb2="0000003F" w:usb3="00000000" w:csb0="603F01FF" w:csb1="FFFF0000"/>
    <w:embedRegular r:id="rId4" w:fontKey="{D62ABCB1-C972-4547-8006-1CE59B68D3A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CE892DD1-6AB3-4D23-B487-B9E42981EB97}"/>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085FBC34-2271-414D-9422-28CDA15D6C02}"/>
  </w:font>
  <w:font w:name="方正黑体_GBK">
    <w:panose1 w:val="03000509000000000000"/>
    <w:charset w:val="86"/>
    <w:family w:val="script"/>
    <w:pitch w:val="default"/>
    <w:sig w:usb0="00000001" w:usb1="080E0000" w:usb2="00000000" w:usb3="00000000" w:csb0="00040000" w:csb1="00000000"/>
    <w:embedRegular r:id="rId7" w:fontKey="{0CB22792-48A2-4675-A9E0-592D93C1C907}"/>
  </w:font>
  <w:font w:name="方正小标宋_GBK">
    <w:panose1 w:val="03000509000000000000"/>
    <w:charset w:val="86"/>
    <w:family w:val="script"/>
    <w:pitch w:val="default"/>
    <w:sig w:usb0="00000001" w:usb1="080E0000" w:usb2="00000000" w:usb3="00000000" w:csb0="00040000" w:csb1="00000000"/>
    <w:embedRegular r:id="rId8" w:fontKey="{97A3A014-82AA-42D1-8FB7-6BB59E7D68A5}"/>
  </w:font>
  <w:font w:name="仿宋">
    <w:panose1 w:val="02010609060101010101"/>
    <w:charset w:val="86"/>
    <w:family w:val="modern"/>
    <w:pitch w:val="default"/>
    <w:sig w:usb0="800002BF" w:usb1="38CF7CFA" w:usb2="00000016" w:usb3="00000000" w:csb0="00040001" w:csb1="00000000"/>
    <w:embedRegular r:id="rId9" w:fontKey="{22D31B98-BD56-412F-AD09-2066BDCC1D6D}"/>
  </w:font>
  <w:font w:name="微软雅黑">
    <w:panose1 w:val="020B0503020204020204"/>
    <w:charset w:val="86"/>
    <w:family w:val="swiss"/>
    <w:pitch w:val="default"/>
    <w:sig w:usb0="80000287" w:usb1="2ACF3C50" w:usb2="00000016" w:usb3="00000000" w:csb0="0004001F" w:csb1="00000000"/>
    <w:embedRegular r:id="rId10" w:fontKey="{DAF7FEBA-090C-4AAF-A5C0-A3CEA2BC4AD1}"/>
  </w:font>
  <w:font w:name="WPSEMBED8">
    <w:panose1 w:val="03000509000000000000"/>
    <w:charset w:val="86"/>
    <w:family w:val="auto"/>
    <w:pitch w:val="default"/>
    <w:sig w:usb0="00000001" w:usb1="080E0000" w:usb2="00000000" w:usb3="00000000" w:csb0="00040000" w:csb1="00000000"/>
  </w:font>
  <w:font w:name="WPSEMBED9">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 w:name="WPSEMBED7">
    <w:panose1 w:val="020B0604020202020204"/>
    <w:charset w:val="86"/>
    <w:family w:val="auto"/>
    <w:pitch w:val="default"/>
    <w:sig w:usb0="FFFFFFFF" w:usb1="E9FFFFFF" w:usb2="0000003F" w:usb3="00000000" w:csb0="603F01FF" w:csb1="FFFF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D6CC">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010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abstractNum w:abstractNumId="1">
    <w:nsid w:val="2427046E"/>
    <w:multiLevelType w:val="singleLevel"/>
    <w:tmpl w:val="2427046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B67A46"/>
    <w:rsid w:val="1DDC235C"/>
    <w:rsid w:val="1E0868EA"/>
    <w:rsid w:val="1E2E192B"/>
    <w:rsid w:val="1E3649B9"/>
    <w:rsid w:val="1E37496F"/>
    <w:rsid w:val="1E770B63"/>
    <w:rsid w:val="1E9952FE"/>
    <w:rsid w:val="1EB902E5"/>
    <w:rsid w:val="1EBC0009"/>
    <w:rsid w:val="1EDF1AE0"/>
    <w:rsid w:val="1EE405B4"/>
    <w:rsid w:val="1EF743E0"/>
    <w:rsid w:val="1F264D74"/>
    <w:rsid w:val="1F3D184A"/>
    <w:rsid w:val="1F4924CA"/>
    <w:rsid w:val="1F5618CC"/>
    <w:rsid w:val="1F6068FA"/>
    <w:rsid w:val="1F954680"/>
    <w:rsid w:val="1FB042F7"/>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0F208E"/>
    <w:rsid w:val="2955739D"/>
    <w:rsid w:val="299C670B"/>
    <w:rsid w:val="299F1664"/>
    <w:rsid w:val="29C260B1"/>
    <w:rsid w:val="29D67050"/>
    <w:rsid w:val="29DD03DE"/>
    <w:rsid w:val="2A1059CA"/>
    <w:rsid w:val="2A417CC7"/>
    <w:rsid w:val="2A424C0E"/>
    <w:rsid w:val="2A61691A"/>
    <w:rsid w:val="2AA32FDC"/>
    <w:rsid w:val="2AA63DE5"/>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5A1D1B"/>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085B9E"/>
    <w:rsid w:val="34201B1F"/>
    <w:rsid w:val="34500549"/>
    <w:rsid w:val="34620C63"/>
    <w:rsid w:val="34780FBD"/>
    <w:rsid w:val="34E765FA"/>
    <w:rsid w:val="354237EC"/>
    <w:rsid w:val="355234B6"/>
    <w:rsid w:val="3556260B"/>
    <w:rsid w:val="35812566"/>
    <w:rsid w:val="35D02BA5"/>
    <w:rsid w:val="362966B9"/>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4B53"/>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6A4A06"/>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2E1F87"/>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9F0570"/>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6D0588"/>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2F6424"/>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3858DF"/>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1231A5"/>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8F32A2"/>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A85155"/>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547DB6"/>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 w:type="table" w:customStyle="1" w:styleId="236">
    <w:name w:val="Table Normal"/>
    <w:semiHidden/>
    <w:unhideWhenUsed/>
    <w:qFormat/>
    <w:uiPriority w:val="0"/>
    <w:tblPr>
      <w:tblCellMar>
        <w:top w:w="0" w:type="dxa"/>
        <w:left w:w="0" w:type="dxa"/>
        <w:bottom w:w="0" w:type="dxa"/>
        <w:right w:w="0" w:type="dxa"/>
      </w:tblCellMar>
    </w:tblPr>
  </w:style>
  <w:style w:type="character" w:customStyle="1" w:styleId="237">
    <w:name w:val="font5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3766</Words>
  <Characters>4196</Characters>
  <Lines>101</Lines>
  <Paragraphs>28</Paragraphs>
  <TotalTime>16</TotalTime>
  <ScaleCrop>false</ScaleCrop>
  <LinksUpToDate>false</LinksUpToDate>
  <CharactersWithSpaces>4295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2026-05-29T08:26:13Z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