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C9641E">
      <w:pPr>
        <w:spacing w:before="400" w:after="300" w:line="360" w:lineRule="auto"/>
        <w:jc w:val="center"/>
      </w:pPr>
      <w:r>
        <w:rPr>
          <w:rFonts w:ascii="Arial" w:hAnsi="Arial" w:eastAsia="微软雅黑"/>
          <w:b/>
          <w:bCs/>
          <w:sz w:val="44"/>
          <w:szCs w:val="44"/>
        </w:rPr>
        <w:t>零信任安全接入平台项目采购需求</w:t>
      </w:r>
    </w:p>
    <w:p w14:paraId="5909F197"/>
    <w:p w14:paraId="5BAD63C4">
      <w:pPr>
        <w:pStyle w:val="2"/>
      </w:pPr>
      <w:r>
        <w:rPr>
          <w:rFonts w:ascii="Arial" w:hAnsi="Arial" w:eastAsia="微软雅黑"/>
          <w:b/>
          <w:bCs/>
          <w:sz w:val="32"/>
          <w:szCs w:val="32"/>
        </w:rPr>
        <w:t>项目概况</w:t>
      </w:r>
    </w:p>
    <w:p w14:paraId="11876E72">
      <w:pPr>
        <w:spacing w:after="60" w:line="360" w:lineRule="atLeast"/>
        <w:ind w:firstLine="480"/>
      </w:pPr>
      <w:r>
        <w:rPr>
          <w:rFonts w:ascii="Arial" w:hAnsi="Arial" w:eastAsia="微软雅黑"/>
          <w:sz w:val="21"/>
          <w:szCs w:val="21"/>
        </w:rPr>
        <w:t>目前我院OA办公系统、HRP人事系统存在公网NAT端口映射、外网直接暴露访问的情况，攻击面较大、远程接入安全管控薄弱、多系统登录繁琐、无统一身份与权限管控体系。为落实网络安全等级保护要求，规范员工外网远程办公接入，现计划建设零信任安全接入平台，对OA、HRP、云桌面等办公系统进行外网访问改造，关闭原有公网端口映射与VPN接入，实现业务内网隐身部署、统一门户接入、SSO单点登录、精细化权限管控与全行为审计，全面提升院内办公系统安全防护能力与员工办公效率。</w:t>
      </w:r>
    </w:p>
    <w:p w14:paraId="7C7182BA">
      <w:pPr>
        <w:spacing w:after="60" w:line="360" w:lineRule="atLeast"/>
        <w:ind w:firstLine="480"/>
      </w:pPr>
      <w:r>
        <w:rPr>
          <w:rFonts w:ascii="Arial" w:hAnsi="Arial" w:eastAsia="微软雅黑"/>
          <w:sz w:val="21"/>
          <w:szCs w:val="21"/>
        </w:rPr>
        <w:t>本需求文件用于邀请厂商开展方案讲解、技术应答并提交商务报价，为项目采购选型提供支撑依据。系统设计需满足全院日常办公访问需求，支持最大2000用户在线并发接入。</w:t>
      </w:r>
    </w:p>
    <w:p w14:paraId="376F3882">
      <w:pPr>
        <w:pStyle w:val="2"/>
      </w:pPr>
      <w:r>
        <w:rPr>
          <w:rFonts w:ascii="Arial" w:hAnsi="Arial" w:eastAsia="微软雅黑"/>
          <w:b/>
          <w:bCs/>
          <w:sz w:val="32"/>
          <w:szCs w:val="32"/>
        </w:rPr>
        <w:t>总体建设目标</w:t>
      </w:r>
    </w:p>
    <w:p w14:paraId="6A7EA288">
      <w:pPr>
        <w:spacing w:after="60" w:line="360" w:lineRule="atLeast"/>
        <w:ind w:firstLine="480"/>
      </w:pPr>
      <w:r>
        <w:rPr>
          <w:rFonts w:ascii="Arial" w:hAnsi="Arial" w:eastAsia="微软雅黑"/>
          <w:b/>
          <w:bCs/>
          <w:sz w:val="21"/>
          <w:szCs w:val="21"/>
        </w:rPr>
        <w:t>收敛外网攻击面：</w:t>
      </w:r>
      <w:r>
        <w:rPr>
          <w:rFonts w:ascii="Arial" w:hAnsi="Arial" w:eastAsia="微软雅黑"/>
          <w:sz w:val="21"/>
          <w:szCs w:val="21"/>
        </w:rPr>
        <w:t>彻底下线OA、HRP、云桌面等系统原有公网NAT映射、外网端口转发、VPN外网发布策略，业务系统仅在内网可信域部署，外网无法直接访问业务IP与端口，从根源消除外网暴露风险。</w:t>
      </w:r>
    </w:p>
    <w:p w14:paraId="23A0516F">
      <w:pPr>
        <w:spacing w:after="60" w:line="360" w:lineRule="atLeast"/>
        <w:ind w:firstLine="480"/>
      </w:pPr>
      <w:r>
        <w:rPr>
          <w:rFonts w:ascii="Arial" w:hAnsi="Arial" w:eastAsia="微软雅黑"/>
          <w:b/>
          <w:bCs/>
          <w:sz w:val="21"/>
          <w:szCs w:val="21"/>
        </w:rPr>
        <w:t>统一办公接入门户：</w:t>
      </w:r>
      <w:r>
        <w:rPr>
          <w:rFonts w:ascii="Arial" w:hAnsi="Arial" w:eastAsia="微软雅黑"/>
          <w:sz w:val="21"/>
          <w:szCs w:val="21"/>
        </w:rPr>
        <w:t>搭建全院员工统一零信任应用门户，聚合OA、HRP、云桌面等核心办公系统，实现一次认证、多系统统一访问。</w:t>
      </w:r>
    </w:p>
    <w:p w14:paraId="6CB148EA">
      <w:pPr>
        <w:spacing w:after="60" w:line="360" w:lineRule="atLeast"/>
        <w:ind w:firstLine="480"/>
      </w:pPr>
      <w:r>
        <w:rPr>
          <w:rFonts w:ascii="Arial" w:hAnsi="Arial" w:eastAsia="微软雅黑"/>
          <w:b/>
          <w:bCs/>
          <w:sz w:val="21"/>
          <w:szCs w:val="21"/>
        </w:rPr>
        <w:t>实现无感单点登录：</w:t>
      </w:r>
      <w:r>
        <w:rPr>
          <w:rFonts w:ascii="Arial" w:hAnsi="Arial" w:eastAsia="微软雅黑"/>
          <w:sz w:val="21"/>
          <w:szCs w:val="21"/>
        </w:rPr>
        <w:t>完成零信任平台与OA、HRP、云桌面等系统SSO单点登录对接，员工无需重复输入账号密码，提升远程办公体验。</w:t>
      </w:r>
    </w:p>
    <w:p w14:paraId="10F3AD77">
      <w:pPr>
        <w:spacing w:after="60" w:line="360" w:lineRule="atLeast"/>
        <w:ind w:firstLine="480"/>
      </w:pPr>
      <w:r>
        <w:rPr>
          <w:rFonts w:ascii="Arial" w:hAnsi="Arial" w:eastAsia="微软雅黑"/>
          <w:b/>
          <w:bCs/>
          <w:sz w:val="21"/>
          <w:szCs w:val="21"/>
        </w:rPr>
        <w:t>精细化权限管控：</w:t>
      </w:r>
      <w:r>
        <w:rPr>
          <w:rFonts w:ascii="Arial" w:hAnsi="Arial" w:eastAsia="微软雅黑"/>
          <w:sz w:val="21"/>
          <w:szCs w:val="21"/>
        </w:rPr>
        <w:t>基于医院组织架构、岗位、终端安全状态实现最小权限管控，杜绝越权访问。</w:t>
      </w:r>
    </w:p>
    <w:p w14:paraId="37A32CE4">
      <w:pPr>
        <w:spacing w:after="60" w:line="360" w:lineRule="atLeast"/>
        <w:ind w:firstLine="480"/>
      </w:pPr>
      <w:r>
        <w:rPr>
          <w:rFonts w:ascii="Arial" w:hAnsi="Arial" w:eastAsia="微软雅黑"/>
          <w:b/>
          <w:bCs/>
          <w:sz w:val="21"/>
          <w:szCs w:val="21"/>
        </w:rPr>
        <w:t>全程可审计溯源：</w:t>
      </w:r>
      <w:r>
        <w:rPr>
          <w:rFonts w:ascii="Arial" w:hAnsi="Arial" w:eastAsia="微软雅黑"/>
          <w:sz w:val="21"/>
          <w:szCs w:val="21"/>
        </w:rPr>
        <w:t>所有外网、内网访问OA、HRP、云桌面的行为全程留痕，满足等保合规与院内内审要求。</w:t>
      </w:r>
    </w:p>
    <w:p w14:paraId="6ECB8747">
      <w:pPr>
        <w:spacing w:after="60" w:line="360" w:lineRule="atLeast"/>
        <w:ind w:firstLine="480"/>
      </w:pPr>
      <w:r>
        <w:rPr>
          <w:rFonts w:ascii="Arial" w:hAnsi="Arial" w:eastAsia="微软雅黑"/>
          <w:b/>
          <w:bCs/>
          <w:sz w:val="21"/>
          <w:szCs w:val="21"/>
        </w:rPr>
        <w:t>传输链路安全加密：</w:t>
      </w:r>
      <w:r>
        <w:rPr>
          <w:rFonts w:ascii="Arial" w:hAnsi="Arial" w:eastAsia="微软雅黑"/>
          <w:sz w:val="21"/>
          <w:szCs w:val="21"/>
        </w:rPr>
        <w:t>外网所有访问流量采用国密算法、SSL高强度双重加密传输，杜绝数据窃听、篡改、劫持风险，保障远程办公数据传输全过程安全。</w:t>
      </w:r>
    </w:p>
    <w:p w14:paraId="72C3D408">
      <w:pPr>
        <w:spacing w:after="60" w:line="360" w:lineRule="atLeast"/>
        <w:ind w:firstLine="480"/>
      </w:pPr>
      <w:r>
        <w:rPr>
          <w:rFonts w:ascii="Arial" w:hAnsi="Arial" w:eastAsia="微软雅黑"/>
          <w:b/>
          <w:bCs/>
          <w:sz w:val="21"/>
          <w:szCs w:val="21"/>
        </w:rPr>
        <w:t>满足高并发稳定运行：</w:t>
      </w:r>
      <w:r>
        <w:rPr>
          <w:rFonts w:ascii="Arial" w:hAnsi="Arial" w:eastAsia="微软雅黑"/>
          <w:sz w:val="21"/>
          <w:szCs w:val="21"/>
        </w:rPr>
        <w:t>平台支撑全院2000个用户在线并发接入访问，高峰时段访问流畅、无卡顿、无掉线、无认证超时异常。</w:t>
      </w:r>
    </w:p>
    <w:p w14:paraId="75DA7109">
      <w:pPr>
        <w:pStyle w:val="2"/>
      </w:pPr>
      <w:r>
        <w:rPr>
          <w:rFonts w:ascii="Arial" w:hAnsi="Arial" w:eastAsia="微软雅黑"/>
          <w:b/>
          <w:bCs/>
          <w:sz w:val="32"/>
          <w:szCs w:val="32"/>
        </w:rPr>
        <w:t>核心技术功能需求</w:t>
      </w:r>
    </w:p>
    <w:p w14:paraId="52D5B4C7">
      <w:pPr>
        <w:pStyle w:val="3"/>
      </w:pPr>
      <w:r>
        <w:rPr>
          <w:rFonts w:ascii="Arial" w:hAnsi="Arial" w:eastAsia="微软雅黑"/>
          <w:b/>
          <w:bCs/>
          <w:sz w:val="30"/>
          <w:szCs w:val="30"/>
        </w:rPr>
        <w:t>业务隐身代理与外网收敛能力</w:t>
      </w:r>
    </w:p>
    <w:p w14:paraId="2BA83113">
      <w:pPr>
        <w:spacing w:after="60" w:line="360" w:lineRule="atLeast"/>
        <w:ind w:firstLine="480"/>
      </w:pPr>
      <w:r>
        <w:rPr>
          <w:rFonts w:ascii="Arial" w:hAnsi="Arial" w:eastAsia="微软雅黑"/>
          <w:sz w:val="21"/>
          <w:szCs w:val="21"/>
        </w:rPr>
        <w:t>支持应用隐身代理技术，OA、HRP、云桌面等业务系统无需公网IP、无需外网端口映射、无需DMZ发布，所有业务服务仅内网监听，彻底隐藏内网真实业务地址与端口。</w:t>
      </w:r>
    </w:p>
    <w:p w14:paraId="426C3A2E">
      <w:pPr>
        <w:spacing w:after="60" w:line="360" w:lineRule="atLeast"/>
        <w:ind w:firstLine="480"/>
      </w:pPr>
      <w:r>
        <w:rPr>
          <w:rFonts w:ascii="Arial" w:hAnsi="Arial" w:eastAsia="微软雅黑"/>
          <w:sz w:val="21"/>
          <w:szCs w:val="21"/>
        </w:rPr>
        <w:t>零信任网关作为OA、HRP、云桌面等唯一外网访问出入口，替代原有公网NAT、传统VPN接入模式，所有外网访问流量强制经过零信任网关鉴权代理，并采用国密算法+SSL高强度加密传输，防止数据窃听、篡改、劫持。</w:t>
      </w:r>
    </w:p>
    <w:p w14:paraId="41E48129">
      <w:pPr>
        <w:spacing w:after="60" w:line="360" w:lineRule="atLeast"/>
        <w:ind w:firstLine="480"/>
      </w:pPr>
      <w:r>
        <w:rPr>
          <w:rFonts w:ascii="Arial" w:hAnsi="Arial" w:eastAsia="微软雅黑"/>
          <w:sz w:val="21"/>
          <w:szCs w:val="21"/>
        </w:rPr>
        <w:t>支持全网旧外网策略平滑割接，割接过程不影响院内内网正常办公使用。</w:t>
      </w:r>
    </w:p>
    <w:p w14:paraId="1030EB50">
      <w:pPr>
        <w:pStyle w:val="3"/>
      </w:pPr>
      <w:r>
        <w:rPr>
          <w:rFonts w:ascii="Arial" w:hAnsi="Arial" w:eastAsia="微软雅黑"/>
          <w:b/>
          <w:bCs/>
          <w:sz w:val="30"/>
          <w:szCs w:val="30"/>
        </w:rPr>
        <w:t>统一应用门户能力</w:t>
      </w:r>
    </w:p>
    <w:p w14:paraId="6A5E853D">
      <w:pPr>
        <w:spacing w:after="60" w:line="360" w:lineRule="atLeast"/>
        <w:ind w:firstLine="480"/>
      </w:pPr>
      <w:r>
        <w:rPr>
          <w:rFonts w:ascii="Arial" w:hAnsi="Arial" w:eastAsia="微软雅黑"/>
          <w:sz w:val="21"/>
          <w:szCs w:val="21"/>
        </w:rPr>
        <w:t>支持客户端、浏览器Web门户两种访问形态，全面适配电脑、手机多类终端接入；电脑终端适配Windows、macOS及国产操作系统，手机终端适配安卓、iOS移动端系统。</w:t>
      </w:r>
    </w:p>
    <w:p w14:paraId="5BA279F7">
      <w:pPr>
        <w:spacing w:after="60" w:line="360" w:lineRule="atLeast"/>
        <w:ind w:firstLine="480"/>
      </w:pPr>
      <w:r>
        <w:rPr>
          <w:rFonts w:ascii="Arial" w:hAnsi="Arial" w:eastAsia="微软雅黑"/>
          <w:sz w:val="21"/>
          <w:szCs w:val="21"/>
        </w:rPr>
        <w:t>内置可视化应用门户控制台，支持自定义添加OA、HRP、云桌面等Web业务应用，支持图标编辑、应用分类、权限隐藏配置。</w:t>
      </w:r>
    </w:p>
    <w:p w14:paraId="3FB8AB8D">
      <w:pPr>
        <w:spacing w:after="60" w:line="360" w:lineRule="atLeast"/>
        <w:ind w:firstLine="480"/>
      </w:pPr>
      <w:r>
        <w:rPr>
          <w:rFonts w:ascii="Arial" w:hAnsi="Arial" w:eastAsia="微软雅黑"/>
          <w:sz w:val="21"/>
          <w:szCs w:val="21"/>
        </w:rPr>
        <w:t>员工认证入网后可一键跳转授权业务系统，界面简洁、适配院内办公使用场景。</w:t>
      </w:r>
    </w:p>
    <w:p w14:paraId="26089597">
      <w:pPr>
        <w:spacing w:after="60" w:line="360" w:lineRule="atLeast"/>
        <w:ind w:firstLine="480"/>
        <w:rPr>
          <w:rFonts w:ascii="Arial" w:hAnsi="Arial" w:eastAsia="微软雅黑"/>
          <w:sz w:val="21"/>
          <w:szCs w:val="21"/>
        </w:rPr>
      </w:pPr>
      <w:r>
        <w:rPr>
          <w:rFonts w:ascii="Arial" w:hAnsi="Arial" w:eastAsia="微软雅黑"/>
          <w:sz w:val="21"/>
          <w:szCs w:val="21"/>
        </w:rPr>
        <w:t>支持门户自定义登录页面，可自主配置医院LOGO、医院名称、滚动公告通知，适配院内品牌形象展示、运维通知发布等场景。</w:t>
      </w:r>
    </w:p>
    <w:p w14:paraId="27090CA3">
      <w:pPr>
        <w:spacing w:after="60" w:line="360" w:lineRule="atLeast"/>
        <w:ind w:firstLine="480"/>
        <w:rPr>
          <w:rFonts w:ascii="Arial" w:hAnsi="Arial" w:eastAsia="微软雅黑"/>
          <w:sz w:val="21"/>
          <w:szCs w:val="21"/>
          <w:highlight w:val="yellow"/>
        </w:rPr>
      </w:pPr>
      <w:r>
        <w:rPr>
          <w:rFonts w:ascii="Arial" w:hAnsi="Arial" w:eastAsia="微软雅黑"/>
          <w:sz w:val="21"/>
          <w:szCs w:val="21"/>
          <w:highlight w:val="yellow"/>
        </w:rPr>
        <w:t>本次采购零信任产品需具备平台兼容互通能力，支持对接、兼容第三方厂商零信任管理平台，实现跨平台协同管理。</w:t>
      </w:r>
      <w:bookmarkStart w:id="0" w:name="_GoBack"/>
      <w:bookmarkEnd w:id="0"/>
    </w:p>
    <w:p w14:paraId="2EA71BCD">
      <w:pPr>
        <w:pStyle w:val="3"/>
      </w:pPr>
      <w:r>
        <w:rPr>
          <w:rFonts w:ascii="Arial" w:hAnsi="Arial" w:eastAsia="微软雅黑"/>
          <w:b/>
          <w:bCs/>
          <w:sz w:val="30"/>
          <w:szCs w:val="30"/>
        </w:rPr>
        <w:t>多模式SSO单点登录能力</w:t>
      </w:r>
    </w:p>
    <w:p w14:paraId="7B7B2762">
      <w:pPr>
        <w:spacing w:after="60" w:line="360" w:lineRule="atLeast"/>
        <w:ind w:firstLine="480"/>
      </w:pPr>
      <w:r>
        <w:rPr>
          <w:rFonts w:ascii="Arial" w:hAnsi="Arial" w:eastAsia="微软雅黑"/>
          <w:sz w:val="21"/>
          <w:szCs w:val="21"/>
        </w:rPr>
        <w:t>需兼容主流单点登录协议，支持OIDC2.0、SAML2.0、CAS标准协议对接，适配新版OA、HRP、云桌面等系统。</w:t>
      </w:r>
    </w:p>
    <w:p w14:paraId="65AF1FAF">
      <w:pPr>
        <w:spacing w:after="60" w:line="360" w:lineRule="atLeast"/>
        <w:ind w:firstLine="480"/>
      </w:pPr>
      <w:r>
        <w:rPr>
          <w:rFonts w:ascii="Arial" w:hAnsi="Arial" w:eastAsia="微软雅黑"/>
          <w:sz w:val="21"/>
          <w:szCs w:val="21"/>
        </w:rPr>
        <w:t>支持安全表单代填单点模式，适配老旧版本、无标准协议接口的OA、HRP、云桌面等系统，无需改造原有业务系统代码即可实现免密登录。</w:t>
      </w:r>
    </w:p>
    <w:p w14:paraId="75AD5FD9">
      <w:pPr>
        <w:spacing w:after="60" w:line="360" w:lineRule="atLeast"/>
        <w:ind w:firstLine="480"/>
      </w:pPr>
      <w:r>
        <w:rPr>
          <w:rFonts w:ascii="Arial" w:hAnsi="Arial" w:eastAsia="微软雅黑"/>
          <w:sz w:val="21"/>
          <w:szCs w:val="21"/>
        </w:rPr>
        <w:t>支持员工工号与业务系统账号加密映射绑定，权限一一对应，保障单点登录安全合规。</w:t>
      </w:r>
    </w:p>
    <w:p w14:paraId="32D600C1">
      <w:pPr>
        <w:pStyle w:val="3"/>
      </w:pPr>
      <w:r>
        <w:rPr>
          <w:rFonts w:ascii="Arial" w:hAnsi="Arial" w:eastAsia="微软雅黑"/>
          <w:b/>
          <w:bCs/>
          <w:sz w:val="30"/>
          <w:szCs w:val="30"/>
        </w:rPr>
        <w:t>多维精细化权限管控能力</w:t>
      </w:r>
    </w:p>
    <w:p w14:paraId="39B15C7F">
      <w:pPr>
        <w:spacing w:after="60" w:line="360" w:lineRule="atLeast"/>
        <w:ind w:firstLine="480"/>
      </w:pPr>
      <w:r>
        <w:rPr>
          <w:rFonts w:ascii="Arial" w:hAnsi="Arial" w:eastAsia="微软雅黑"/>
          <w:sz w:val="21"/>
          <w:szCs w:val="21"/>
        </w:rPr>
        <w:t>支持RBAC权限模型，可同步对接医院组织架构，按部门、岗位、人员分级授权，实现人事岗可访问OA、HRP，普通职工仅访问OA的差异化权限管控。</w:t>
      </w:r>
    </w:p>
    <w:p w14:paraId="5AF39C35">
      <w:pPr>
        <w:spacing w:after="60" w:line="360" w:lineRule="atLeast"/>
        <w:ind w:firstLine="480"/>
      </w:pPr>
      <w:r>
        <w:rPr>
          <w:rFonts w:ascii="Arial" w:hAnsi="Arial" w:eastAsia="微软雅黑"/>
          <w:sz w:val="21"/>
          <w:szCs w:val="21"/>
        </w:rPr>
        <w:t>具备终端安全基线检测能力，外网终端接入前需完成系统补丁、杀毒状态、终端合规校验，不合规终端禁止接入OA、HRP、云桌面等业务系统。</w:t>
      </w:r>
    </w:p>
    <w:p w14:paraId="4F9A5831">
      <w:pPr>
        <w:spacing w:after="60" w:line="360" w:lineRule="atLeast"/>
        <w:ind w:firstLine="480"/>
      </w:pPr>
      <w:r>
        <w:rPr>
          <w:rFonts w:ascii="Arial" w:hAnsi="Arial" w:eastAsia="微软雅黑"/>
          <w:sz w:val="21"/>
          <w:szCs w:val="21"/>
        </w:rPr>
        <w:t>支持访问链路管控，院内终端可内网直连或零信任门户访问，院外终端仅可零信任鉴权接入，无公网直通权限。</w:t>
      </w:r>
    </w:p>
    <w:p w14:paraId="4F23AF64">
      <w:pPr>
        <w:spacing w:after="60" w:line="360" w:lineRule="atLeast"/>
        <w:ind w:firstLine="480"/>
      </w:pPr>
      <w:r>
        <w:rPr>
          <w:rFonts w:ascii="Arial" w:hAnsi="Arial" w:eastAsia="微软雅黑"/>
          <w:sz w:val="21"/>
          <w:szCs w:val="21"/>
        </w:rPr>
        <w:t>支持统一账号密码策略管控，管理员可自定义配置密码长度、大小写、数字、特殊字符等复杂度规则，强制账号定期更换密码；内置登录失败锁定机制，有效抵御账号暴力破解风险，统一规范全院员工账号安全标准。</w:t>
      </w:r>
    </w:p>
    <w:p w14:paraId="40B68C33">
      <w:pPr>
        <w:pStyle w:val="3"/>
      </w:pPr>
      <w:r>
        <w:rPr>
          <w:rFonts w:ascii="Arial" w:hAnsi="Arial" w:eastAsia="微软雅黑"/>
          <w:b/>
          <w:bCs/>
          <w:sz w:val="30"/>
          <w:szCs w:val="30"/>
        </w:rPr>
        <w:t>安全审计与合规能力</w:t>
      </w:r>
    </w:p>
    <w:p w14:paraId="4B89FAC7">
      <w:pPr>
        <w:spacing w:after="60" w:line="360" w:lineRule="atLeast"/>
        <w:ind w:firstLine="480"/>
      </w:pPr>
      <w:r>
        <w:rPr>
          <w:rFonts w:ascii="Arial" w:hAnsi="Arial" w:eastAsia="微软雅黑"/>
          <w:sz w:val="21"/>
          <w:szCs w:val="21"/>
        </w:rPr>
        <w:t>全量记录OA、HRP、云桌面等系统访问日志，包含访问人员、时间、终端地址、访问应用、操作行为等信息。</w:t>
      </w:r>
    </w:p>
    <w:p w14:paraId="7906E60A">
      <w:pPr>
        <w:spacing w:after="60" w:line="360" w:lineRule="atLeast"/>
        <w:ind w:firstLine="480"/>
      </w:pPr>
      <w:r>
        <w:rPr>
          <w:rFonts w:ascii="Arial" w:hAnsi="Arial" w:eastAsia="微软雅黑"/>
          <w:sz w:val="21"/>
          <w:szCs w:val="21"/>
        </w:rPr>
        <w:t>支持日志检索、查询、导出、留存，日志存储时长满足网络安全等级保护要求，可支撑院内安全自查、内审、合规检查工作。</w:t>
      </w:r>
    </w:p>
    <w:p w14:paraId="78E96749">
      <w:pPr>
        <w:pStyle w:val="2"/>
      </w:pPr>
      <w:r>
        <w:rPr>
          <w:rFonts w:ascii="Arial" w:hAnsi="Arial" w:eastAsia="微软雅黑"/>
          <w:b/>
          <w:bCs/>
          <w:sz w:val="32"/>
          <w:szCs w:val="32"/>
        </w:rPr>
        <w:t>核心性能指标</w:t>
      </w:r>
    </w:p>
    <w:p w14:paraId="6F094EA9">
      <w:pPr>
        <w:pStyle w:val="16"/>
        <w:numPr>
          <w:ilvl w:val="0"/>
          <w:numId w:val="2"/>
        </w:numPr>
        <w:spacing w:after="40" w:line="360" w:lineRule="atLeast"/>
        <w:ind w:left="720"/>
      </w:pPr>
      <w:r>
        <w:rPr>
          <w:rFonts w:ascii="Arial" w:hAnsi="Arial" w:eastAsia="微软雅黑"/>
          <w:sz w:val="21"/>
          <w:szCs w:val="21"/>
        </w:rPr>
        <w:t>并发能力：平台支持最大2000用户在线并发接入认证与业务访问，高峰时段稳定运行，无崩溃、无卡顿、无频繁掉线。</w:t>
      </w:r>
    </w:p>
    <w:p w14:paraId="0DC53FE0">
      <w:pPr>
        <w:pStyle w:val="16"/>
        <w:numPr>
          <w:ilvl w:val="0"/>
          <w:numId w:val="2"/>
        </w:numPr>
        <w:spacing w:after="40" w:line="360" w:lineRule="atLeast"/>
        <w:ind w:left="720"/>
      </w:pPr>
      <w:r>
        <w:rPr>
          <w:rFonts w:ascii="Arial" w:hAnsi="Arial" w:eastAsia="微软雅黑"/>
          <w:sz w:val="21"/>
          <w:szCs w:val="21"/>
        </w:rPr>
        <w:t>响应速度：门户访问、单点跳转响应时间≤1秒，外网远程访问OA、HRP、云桌面等操作流畅，无明显延迟。</w:t>
      </w:r>
    </w:p>
    <w:p w14:paraId="33BEA6A3">
      <w:pPr>
        <w:pStyle w:val="16"/>
        <w:numPr>
          <w:ilvl w:val="0"/>
          <w:numId w:val="2"/>
        </w:numPr>
        <w:spacing w:after="40" w:line="360" w:lineRule="atLeast"/>
        <w:ind w:left="720"/>
      </w:pPr>
      <w:r>
        <w:rPr>
          <w:rFonts w:ascii="Arial" w:hAnsi="Arial" w:eastAsia="微软雅黑"/>
          <w:sz w:val="21"/>
          <w:szCs w:val="21"/>
        </w:rPr>
        <w:t>稳定性：支持7×24小时不间断运行，设备故障率低，具备高可用运行能力。</w:t>
      </w:r>
    </w:p>
    <w:p w14:paraId="6DE25DB5">
      <w:pPr>
        <w:pStyle w:val="16"/>
        <w:numPr>
          <w:ilvl w:val="0"/>
          <w:numId w:val="2"/>
        </w:numPr>
        <w:spacing w:after="40" w:line="360" w:lineRule="atLeast"/>
        <w:ind w:left="720"/>
      </w:pPr>
      <w:r>
        <w:rPr>
          <w:rFonts w:ascii="Arial" w:hAnsi="Arial" w:eastAsia="微软雅黑"/>
          <w:sz w:val="21"/>
          <w:szCs w:val="21"/>
        </w:rPr>
        <w:t>加密传输性能：外网全部业务流量默认启用国密+SSL双重加密，加密传输不产生明显业务延迟，具备防窃听、防篡改、防流量劫持防护能力。</w:t>
      </w:r>
    </w:p>
    <w:p w14:paraId="5C427A8B">
      <w:pPr>
        <w:pStyle w:val="16"/>
        <w:numPr>
          <w:ilvl w:val="0"/>
          <w:numId w:val="2"/>
        </w:numPr>
        <w:spacing w:after="40" w:line="360" w:lineRule="atLeast"/>
        <w:ind w:left="720"/>
      </w:pPr>
      <w:r>
        <w:rPr>
          <w:rFonts w:ascii="Arial" w:hAnsi="Arial" w:eastAsia="微软雅黑"/>
          <w:sz w:val="21"/>
          <w:szCs w:val="21"/>
        </w:rPr>
        <w:t>扩展性：支持后续新增办公类业务系统快速上架、快速适配单点登录，无需重构平台架构。</w:t>
      </w:r>
    </w:p>
    <w:p w14:paraId="03FDAC83">
      <w:pPr>
        <w:pStyle w:val="2"/>
      </w:pPr>
      <w:r>
        <w:rPr>
          <w:rFonts w:ascii="Arial" w:hAnsi="Arial" w:eastAsia="微软雅黑"/>
          <w:b/>
          <w:bCs/>
          <w:sz w:val="32"/>
          <w:szCs w:val="32"/>
        </w:rPr>
        <w:t>实施部署需求</w:t>
      </w:r>
    </w:p>
    <w:p w14:paraId="6E414D14">
      <w:pPr>
        <w:pStyle w:val="16"/>
        <w:numPr>
          <w:ilvl w:val="0"/>
          <w:numId w:val="3"/>
        </w:numPr>
        <w:spacing w:after="40" w:line="360" w:lineRule="atLeast"/>
        <w:ind w:left="720"/>
      </w:pPr>
      <w:r>
        <w:rPr>
          <w:rFonts w:ascii="Arial" w:hAnsi="Arial" w:eastAsia="微软雅黑"/>
          <w:b/>
          <w:bCs/>
          <w:sz w:val="21"/>
          <w:szCs w:val="21"/>
        </w:rPr>
        <w:t>部署方式：</w:t>
      </w:r>
      <w:r>
        <w:rPr>
          <w:rFonts w:ascii="Arial" w:hAnsi="Arial" w:eastAsia="微软雅黑"/>
          <w:sz w:val="21"/>
          <w:szCs w:val="21"/>
        </w:rPr>
        <w:t>支持核心交换机旁挂部署，兼容院内现有网络架构，无需大规模改造现有网络与业务系统。</w:t>
      </w:r>
      <w:r>
        <w:rPr>
          <w:rFonts w:hint="eastAsia"/>
          <w:sz w:val="21"/>
          <w:szCs w:val="21"/>
          <w:lang w:eastAsia="zh-CN"/>
        </w:rPr>
        <w:t>（</w:t>
      </w:r>
      <w:r>
        <w:rPr>
          <w:rFonts w:hint="eastAsia"/>
          <w:sz w:val="21"/>
          <w:szCs w:val="21"/>
          <w:lang w:val="en-US" w:eastAsia="zh-CN"/>
        </w:rPr>
        <w:t>或其他友好方式部署如支持虚拟化部署</w:t>
      </w:r>
      <w:r>
        <w:rPr>
          <w:rFonts w:hint="eastAsia"/>
          <w:sz w:val="21"/>
          <w:szCs w:val="21"/>
          <w:lang w:eastAsia="zh-CN"/>
        </w:rPr>
        <w:t>）</w:t>
      </w:r>
    </w:p>
    <w:p w14:paraId="64418B85">
      <w:pPr>
        <w:pStyle w:val="16"/>
        <w:numPr>
          <w:ilvl w:val="0"/>
          <w:numId w:val="3"/>
        </w:numPr>
        <w:spacing w:after="40" w:line="360" w:lineRule="atLeast"/>
        <w:ind w:left="720"/>
      </w:pPr>
      <w:r>
        <w:rPr>
          <w:rFonts w:ascii="Arial" w:hAnsi="Arial" w:eastAsia="微软雅黑"/>
          <w:b/>
          <w:bCs/>
          <w:sz w:val="21"/>
          <w:szCs w:val="21"/>
        </w:rPr>
        <w:t>实施内容：</w:t>
      </w:r>
      <w:r>
        <w:rPr>
          <w:rFonts w:ascii="Arial" w:hAnsi="Arial" w:eastAsia="微软雅黑"/>
          <w:sz w:val="21"/>
          <w:szCs w:val="21"/>
        </w:rPr>
        <w:t>包含零信任网关部署、网络策略梳理、原有OA/HRP外网NAT及VPN策略下线、统一门户搭建、门户登录页面定制、单点登录对接、账号安全策略配置、权限策略配置、终端适配调试、全员试运行割接。</w:t>
      </w:r>
    </w:p>
    <w:p w14:paraId="497D1274">
      <w:pPr>
        <w:pStyle w:val="16"/>
        <w:numPr>
          <w:ilvl w:val="0"/>
          <w:numId w:val="3"/>
        </w:numPr>
        <w:spacing w:after="40" w:line="360" w:lineRule="atLeast"/>
        <w:ind w:left="720"/>
      </w:pPr>
      <w:r>
        <w:rPr>
          <w:rFonts w:ascii="Arial" w:hAnsi="Arial" w:eastAsia="微软雅黑"/>
          <w:b/>
          <w:bCs/>
          <w:sz w:val="21"/>
          <w:szCs w:val="21"/>
        </w:rPr>
        <w:t>改造原则：</w:t>
      </w:r>
      <w:r>
        <w:rPr>
          <w:rFonts w:ascii="Arial" w:hAnsi="Arial" w:eastAsia="微软雅黑"/>
          <w:sz w:val="21"/>
          <w:szCs w:val="21"/>
        </w:rPr>
        <w:t>最小化业务改动，优先保障院内内网办公全程不受影响，外网改造平滑过渡。</w:t>
      </w:r>
    </w:p>
    <w:p w14:paraId="60161826">
      <w:pPr>
        <w:pStyle w:val="16"/>
        <w:numPr>
          <w:ilvl w:val="0"/>
          <w:numId w:val="3"/>
        </w:numPr>
        <w:spacing w:after="40" w:line="360" w:lineRule="atLeast"/>
        <w:ind w:left="720"/>
      </w:pPr>
      <w:r>
        <w:rPr>
          <w:rFonts w:ascii="Arial" w:hAnsi="Arial" w:eastAsia="微软雅黑"/>
          <w:b/>
          <w:bCs/>
          <w:sz w:val="21"/>
          <w:szCs w:val="21"/>
        </w:rPr>
        <w:t>试点上线：</w:t>
      </w:r>
      <w:r>
        <w:rPr>
          <w:rFonts w:ascii="Arial" w:hAnsi="Arial" w:eastAsia="微软雅黑"/>
          <w:sz w:val="21"/>
          <w:szCs w:val="21"/>
        </w:rPr>
        <w:t>支持小范围岗位试点试运行，稳定后全员批量上线，保障项目落地零风险。</w:t>
      </w:r>
    </w:p>
    <w:p w14:paraId="3B925342">
      <w:pPr>
        <w:pStyle w:val="2"/>
      </w:pPr>
      <w:r>
        <w:rPr>
          <w:rFonts w:ascii="Arial" w:hAnsi="Arial" w:eastAsia="微软雅黑"/>
          <w:b/>
          <w:bCs/>
          <w:sz w:val="32"/>
          <w:szCs w:val="32"/>
        </w:rPr>
        <w:t>售后服务与运维需求</w:t>
      </w:r>
    </w:p>
    <w:p w14:paraId="2746D51F">
      <w:pPr>
        <w:pStyle w:val="16"/>
        <w:numPr>
          <w:ilvl w:val="0"/>
          <w:numId w:val="4"/>
        </w:numPr>
        <w:spacing w:after="40" w:line="360" w:lineRule="atLeast"/>
        <w:ind w:left="720"/>
      </w:pPr>
      <w:r>
        <w:rPr>
          <w:rFonts w:ascii="Arial" w:hAnsi="Arial" w:eastAsia="微软雅黑"/>
          <w:sz w:val="21"/>
          <w:szCs w:val="21"/>
        </w:rPr>
        <w:t>提供原厂标准质保服务，质保期内免费故障维修、版本升级、漏洞修复。</w:t>
      </w:r>
    </w:p>
    <w:p w14:paraId="38200D9E">
      <w:pPr>
        <w:pStyle w:val="16"/>
        <w:numPr>
          <w:ilvl w:val="0"/>
          <w:numId w:val="4"/>
        </w:numPr>
        <w:spacing w:after="40" w:line="360" w:lineRule="atLeast"/>
        <w:ind w:left="720"/>
      </w:pPr>
      <w:r>
        <w:rPr>
          <w:rFonts w:ascii="Arial" w:hAnsi="Arial" w:eastAsia="微软雅黑"/>
          <w:sz w:val="21"/>
          <w:szCs w:val="21"/>
        </w:rPr>
        <w:t>提供上门部署、调试、培训服务，针对运维人员、普通员工开展操作培训，包含门户自定义、账号密码策略配置、流量加密配置实操教学。</w:t>
      </w:r>
    </w:p>
    <w:p w14:paraId="610B86A3">
      <w:pPr>
        <w:pStyle w:val="16"/>
        <w:numPr>
          <w:ilvl w:val="0"/>
          <w:numId w:val="4"/>
        </w:numPr>
        <w:spacing w:after="40" w:line="360" w:lineRule="atLeast"/>
        <w:ind w:left="720"/>
      </w:pPr>
      <w:r>
        <w:rPr>
          <w:rFonts w:ascii="Arial" w:hAnsi="Arial" w:eastAsia="微软雅黑"/>
          <w:sz w:val="21"/>
          <w:szCs w:val="21"/>
        </w:rPr>
        <w:t>提供7×24小时技术应急响应，故障及时排查处置，保障远程办公业务稳定运行。</w:t>
      </w:r>
    </w:p>
    <w:p w14:paraId="62E9F5CD">
      <w:pPr>
        <w:pStyle w:val="16"/>
        <w:numPr>
          <w:ilvl w:val="0"/>
          <w:numId w:val="4"/>
        </w:numPr>
        <w:spacing w:after="40" w:line="360" w:lineRule="atLeast"/>
        <w:ind w:left="720"/>
      </w:pPr>
      <w:r>
        <w:rPr>
          <w:rFonts w:ascii="Arial" w:hAnsi="Arial" w:eastAsia="微软雅黑"/>
          <w:sz w:val="21"/>
          <w:szCs w:val="21"/>
        </w:rPr>
        <w:t>交付完整项目文档，包含实施方案、配置手册、运维手册、验收报告等资料，覆盖加密传输、门户定制、账号安全策略全部配置说明。</w:t>
      </w:r>
    </w:p>
    <w:p w14:paraId="381356BC">
      <w:pPr>
        <w:pStyle w:val="2"/>
      </w:pPr>
      <w:r>
        <w:rPr>
          <w:rFonts w:ascii="Arial" w:hAnsi="Arial" w:eastAsia="微软雅黑"/>
          <w:b/>
          <w:bCs/>
          <w:sz w:val="32"/>
          <w:szCs w:val="32"/>
        </w:rPr>
        <w:t>厂家资质要求</w:t>
      </w:r>
    </w:p>
    <w:p w14:paraId="1556F2F2">
      <w:pPr>
        <w:pStyle w:val="3"/>
      </w:pPr>
      <w:r>
        <w:rPr>
          <w:rFonts w:ascii="Arial" w:hAnsi="Arial" w:eastAsia="微软雅黑"/>
          <w:b/>
          <w:bCs/>
          <w:sz w:val="30"/>
          <w:szCs w:val="30"/>
        </w:rPr>
        <w:t>资格否决项</w:t>
      </w:r>
    </w:p>
    <w:p w14:paraId="2A4263DA">
      <w:pPr>
        <w:pStyle w:val="4"/>
      </w:pPr>
      <w:r>
        <w:rPr>
          <w:rFonts w:ascii="Arial" w:hAnsi="Arial" w:eastAsia="微软雅黑"/>
          <w:b/>
          <w:bCs/>
          <w:sz w:val="28"/>
          <w:szCs w:val="28"/>
        </w:rPr>
        <w:t>主体资质要求</w:t>
      </w:r>
    </w:p>
    <w:p w14:paraId="3F87D7BE">
      <w:pPr>
        <w:spacing w:after="60" w:line="360" w:lineRule="atLeast"/>
        <w:ind w:firstLine="480"/>
      </w:pPr>
      <w:r>
        <w:rPr>
          <w:rFonts w:ascii="Arial" w:hAnsi="Arial" w:eastAsia="微软雅黑"/>
          <w:sz w:val="21"/>
          <w:szCs w:val="21"/>
        </w:rPr>
        <w:t>应答厂商须为中华人民共和国境内注册的独立法人，具备合法有效的营业执照，经营范围包含网络安全产品研发或销售相关内容，具备独立承担民事责任和本项目交付的履约能力。</w:t>
      </w:r>
    </w:p>
    <w:p w14:paraId="7FA34664">
      <w:pPr>
        <w:pStyle w:val="4"/>
      </w:pPr>
      <w:r>
        <w:rPr>
          <w:rFonts w:ascii="Arial" w:hAnsi="Arial" w:eastAsia="微软雅黑"/>
          <w:b/>
          <w:bCs/>
          <w:sz w:val="28"/>
          <w:szCs w:val="28"/>
        </w:rPr>
        <w:t>产品原厂资质</w:t>
      </w:r>
    </w:p>
    <w:p w14:paraId="47D33F74">
      <w:pPr>
        <w:spacing w:after="60" w:line="360" w:lineRule="atLeast"/>
        <w:ind w:firstLine="480"/>
      </w:pPr>
      <w:r>
        <w:rPr>
          <w:rFonts w:ascii="Arial" w:hAnsi="Arial" w:eastAsia="微软雅黑"/>
          <w:sz w:val="21"/>
          <w:szCs w:val="21"/>
        </w:rPr>
        <w:t>应答产品须为厂商自主研发产品，提供零信任安全接入平台对应的计算机软件著作权登记证书；不接受贴牌产品应答，须由原厂提供后续技术支撑与版本迭代服务。</w:t>
      </w:r>
    </w:p>
    <w:p w14:paraId="42B11FEA">
      <w:pPr>
        <w:pStyle w:val="4"/>
      </w:pPr>
      <w:r>
        <w:rPr>
          <w:rFonts w:ascii="Arial" w:hAnsi="Arial" w:eastAsia="微软雅黑"/>
          <w:b/>
          <w:bCs/>
          <w:sz w:val="28"/>
          <w:szCs w:val="28"/>
        </w:rPr>
        <w:t>安全合规资质</w:t>
      </w:r>
    </w:p>
    <w:p w14:paraId="5967BE26">
      <w:pPr>
        <w:pStyle w:val="16"/>
        <w:numPr>
          <w:ilvl w:val="0"/>
          <w:numId w:val="5"/>
        </w:numPr>
        <w:spacing w:after="40" w:line="360" w:lineRule="atLeast"/>
        <w:ind w:left="720"/>
      </w:pPr>
      <w:r>
        <w:rPr>
          <w:rFonts w:ascii="Arial" w:hAnsi="Arial" w:eastAsia="微软雅黑"/>
          <w:sz w:val="21"/>
          <w:szCs w:val="21"/>
        </w:rPr>
        <w:t>零信任产品须具备《网络安全专用产品安全认证证书》；</w:t>
      </w:r>
    </w:p>
    <w:p w14:paraId="4F374685">
      <w:pPr>
        <w:pStyle w:val="16"/>
        <w:numPr>
          <w:ilvl w:val="0"/>
          <w:numId w:val="5"/>
        </w:numPr>
        <w:spacing w:after="40" w:line="360" w:lineRule="atLeast"/>
        <w:ind w:left="720"/>
      </w:pPr>
      <w:r>
        <w:rPr>
          <w:rFonts w:ascii="Arial" w:hAnsi="Arial" w:eastAsia="微软雅黑"/>
          <w:sz w:val="21"/>
          <w:szCs w:val="21"/>
        </w:rPr>
        <w:t>产品须通过网络安全等级保护三级测评，并提供对应测评报告；</w:t>
      </w:r>
    </w:p>
    <w:p w14:paraId="3C21EB17">
      <w:pPr>
        <w:pStyle w:val="16"/>
        <w:numPr>
          <w:ilvl w:val="0"/>
          <w:numId w:val="5"/>
        </w:numPr>
        <w:spacing w:after="40" w:line="360" w:lineRule="atLeast"/>
        <w:ind w:left="720"/>
      </w:pPr>
      <w:r>
        <w:rPr>
          <w:rFonts w:ascii="Arial" w:hAnsi="Arial" w:eastAsia="微软雅黑"/>
          <w:sz w:val="21"/>
          <w:szCs w:val="21"/>
        </w:rPr>
        <w:t>厂商须具备ISO/IEC 27001信息安全管理体系认证、ISO9001质量管理体系认证、ISO/IEC 29151个人身份信息保护管理体系认证。</w:t>
      </w:r>
    </w:p>
    <w:p w14:paraId="31A88CC5">
      <w:pPr>
        <w:pStyle w:val="4"/>
      </w:pPr>
      <w:r>
        <w:rPr>
          <w:rFonts w:ascii="Arial" w:hAnsi="Arial" w:eastAsia="微软雅黑"/>
          <w:b/>
          <w:bCs/>
          <w:sz w:val="28"/>
          <w:szCs w:val="28"/>
        </w:rPr>
        <w:t>信用合规要求</w:t>
      </w:r>
    </w:p>
    <w:p w14:paraId="12BDB852">
      <w:pPr>
        <w:spacing w:after="60" w:line="360" w:lineRule="atLeast"/>
        <w:ind w:firstLine="480"/>
      </w:pPr>
      <w:r>
        <w:rPr>
          <w:rFonts w:ascii="Arial" w:hAnsi="Arial" w:eastAsia="微软雅黑"/>
          <w:sz w:val="21"/>
          <w:szCs w:val="21"/>
        </w:rPr>
        <w:t>厂商未被列入"信用中国"网站失信被执行人、重大税收违法失信主体、政府采购严重违法失信行为记录名单，无重大违法违规及失信记录。</w:t>
      </w:r>
    </w:p>
    <w:p w14:paraId="028AB457">
      <w:pPr>
        <w:pStyle w:val="3"/>
      </w:pPr>
      <w:r>
        <w:rPr>
          <w:rFonts w:ascii="Arial" w:hAnsi="Arial" w:eastAsia="微软雅黑"/>
          <w:b/>
          <w:bCs/>
          <w:sz w:val="30"/>
          <w:szCs w:val="30"/>
        </w:rPr>
        <w:t>综合评审项</w:t>
      </w:r>
    </w:p>
    <w:p w14:paraId="5C2A9EA2">
      <w:pPr>
        <w:pStyle w:val="4"/>
      </w:pPr>
      <w:r>
        <w:rPr>
          <w:rFonts w:ascii="Arial" w:hAnsi="Arial" w:eastAsia="微软雅黑"/>
          <w:b/>
          <w:bCs/>
          <w:sz w:val="28"/>
          <w:szCs w:val="28"/>
        </w:rPr>
        <w:t>行业落地案例</w:t>
      </w:r>
    </w:p>
    <w:p w14:paraId="2FB19A08">
      <w:pPr>
        <w:spacing w:after="60" w:line="360" w:lineRule="atLeast"/>
        <w:ind w:firstLine="480"/>
      </w:pPr>
      <w:r>
        <w:rPr>
          <w:rFonts w:ascii="Arial" w:hAnsi="Arial" w:eastAsia="微软雅黑"/>
          <w:sz w:val="21"/>
          <w:szCs w:val="21"/>
        </w:rPr>
        <w:t>近3年内具备三级甲等医院零信任安全接入项目落地案例不少于3个，其中至少1个案例并发用户数不低于2000；须提供合同关键页复印件（含项目名称、采购内容、双方盖章页）作为证明材料。</w:t>
      </w:r>
    </w:p>
    <w:p w14:paraId="3D998EDC">
      <w:pPr>
        <w:pStyle w:val="4"/>
      </w:pPr>
      <w:r>
        <w:rPr>
          <w:rFonts w:ascii="Arial" w:hAnsi="Arial" w:eastAsia="微软雅黑"/>
          <w:b/>
          <w:bCs/>
          <w:sz w:val="28"/>
          <w:szCs w:val="28"/>
        </w:rPr>
        <w:t>本地服务能力</w:t>
      </w:r>
    </w:p>
    <w:p w14:paraId="24491B93">
      <w:pPr>
        <w:spacing w:after="60" w:line="360" w:lineRule="atLeast"/>
        <w:ind w:firstLine="480"/>
      </w:pPr>
      <w:r>
        <w:rPr>
          <w:rFonts w:ascii="Arial" w:hAnsi="Arial" w:eastAsia="微软雅黑"/>
          <w:sz w:val="21"/>
          <w:szCs w:val="21"/>
        </w:rPr>
        <w:t>具备本地现场应急响应能力，承诺主城区故障2小时内到达现场处置，远郊区县4小时内到达现场；拥有固定本地技术服务团队，提供人员配置与服务保障方案说明。</w:t>
      </w:r>
    </w:p>
    <w:p w14:paraId="302FB2A4">
      <w:pPr>
        <w:pStyle w:val="4"/>
      </w:pPr>
      <w:r>
        <w:rPr>
          <w:rFonts w:ascii="Arial" w:hAnsi="Arial" w:eastAsia="微软雅黑"/>
          <w:b/>
          <w:bCs/>
          <w:sz w:val="28"/>
          <w:szCs w:val="28"/>
        </w:rPr>
        <w:t>研发技术能力</w:t>
      </w:r>
    </w:p>
    <w:p w14:paraId="3FA09115">
      <w:pPr>
        <w:spacing w:after="60" w:line="360" w:lineRule="atLeast"/>
        <w:ind w:firstLine="480"/>
      </w:pPr>
      <w:r>
        <w:rPr>
          <w:rFonts w:ascii="Arial" w:hAnsi="Arial" w:eastAsia="微软雅黑"/>
          <w:sz w:val="21"/>
          <w:szCs w:val="21"/>
        </w:rPr>
        <w:t>具备零信任相关自主知识产权（发明专利、软件著作权合计）不少于5项，产品正式商用时间不少于3年，具备持续的产品迭代、漏洞修复与功能升级能力。</w:t>
      </w:r>
    </w:p>
    <w:p w14:paraId="41397125">
      <w:pPr>
        <w:pStyle w:val="4"/>
      </w:pPr>
      <w:r>
        <w:rPr>
          <w:rFonts w:ascii="Arial" w:hAnsi="Arial" w:eastAsia="微软雅黑"/>
          <w:b/>
          <w:bCs/>
          <w:sz w:val="28"/>
          <w:szCs w:val="28"/>
        </w:rPr>
        <w:t>应急扩容能力</w:t>
      </w:r>
    </w:p>
    <w:p w14:paraId="300CAA79">
      <w:pPr>
        <w:spacing w:after="60" w:line="360" w:lineRule="atLeast"/>
        <w:ind w:firstLine="480"/>
      </w:pPr>
      <w:r>
        <w:rPr>
          <w:rFonts w:ascii="Arial" w:hAnsi="Arial" w:eastAsia="微软雅黑"/>
          <w:sz w:val="21"/>
          <w:szCs w:val="21"/>
        </w:rPr>
        <w:t>支持临时授权应急服务机制，针对突发高并发访问需求，可提供不少于15天的最大并发接入临时授权，保障峰值时段业务正常使用。</w:t>
      </w:r>
    </w:p>
    <w:p w14:paraId="2C1532D4">
      <w:pPr>
        <w:pStyle w:val="2"/>
      </w:pPr>
      <w:r>
        <w:rPr>
          <w:rFonts w:ascii="Arial" w:hAnsi="Arial" w:eastAsia="微软雅黑"/>
          <w:b/>
          <w:bCs/>
          <w:sz w:val="32"/>
          <w:szCs w:val="32"/>
        </w:rPr>
        <w:t>厂家应答要求</w:t>
      </w:r>
    </w:p>
    <w:p w14:paraId="4B9BD324">
      <w:pPr>
        <w:pStyle w:val="16"/>
        <w:numPr>
          <w:ilvl w:val="0"/>
          <w:numId w:val="6"/>
        </w:numPr>
        <w:spacing w:after="40" w:line="360" w:lineRule="atLeast"/>
        <w:ind w:left="720"/>
      </w:pPr>
      <w:r>
        <w:rPr>
          <w:rFonts w:ascii="Arial" w:hAnsi="Arial" w:eastAsia="微软雅黑"/>
          <w:sz w:val="21"/>
          <w:szCs w:val="21"/>
        </w:rPr>
        <w:t>厂家需针对本采购需求逐条点对点应答，明确标注"满足/不满足/部分满足"，禁止笼统应答、虚假应答；所有功能参数需附带产品佐证材料（官方白皮书、第三方检测报告、资质证书等）。</w:t>
      </w:r>
    </w:p>
    <w:p w14:paraId="5220FE5D">
      <w:pPr>
        <w:pStyle w:val="16"/>
        <w:numPr>
          <w:ilvl w:val="0"/>
          <w:numId w:val="6"/>
        </w:numPr>
        <w:spacing w:after="40" w:line="360" w:lineRule="atLeast"/>
        <w:ind w:left="720"/>
      </w:pPr>
      <w:r>
        <w:rPr>
          <w:rFonts w:ascii="Arial" w:hAnsi="Arial" w:eastAsia="微软雅黑"/>
          <w:sz w:val="21"/>
          <w:szCs w:val="21"/>
        </w:rPr>
        <w:t>须提供完整项目技术方案，包含整体架构拓扑图、流量走向图、权限架构图、2000并发场景承载方案、压力测试适配方案、高可用保障方案。</w:t>
      </w:r>
    </w:p>
    <w:p w14:paraId="1AAD52FB">
      <w:pPr>
        <w:pStyle w:val="16"/>
        <w:numPr>
          <w:ilvl w:val="0"/>
          <w:numId w:val="6"/>
        </w:numPr>
        <w:spacing w:after="40" w:line="360" w:lineRule="atLeast"/>
        <w:ind w:left="720"/>
      </w:pPr>
      <w:r>
        <w:rPr>
          <w:rFonts w:ascii="Arial" w:hAnsi="Arial" w:eastAsia="微软雅黑"/>
          <w:sz w:val="21"/>
          <w:szCs w:val="21"/>
        </w:rPr>
        <w:t>提供详细透明商务报价清单，分项列明设备硬件、软件授权、实施服务、培训服务、质保服务、扩容授权等全部费用，总价包干无增量费用。</w:t>
      </w:r>
    </w:p>
    <w:p w14:paraId="1B0C09C8">
      <w:pPr>
        <w:pStyle w:val="16"/>
        <w:numPr>
          <w:ilvl w:val="0"/>
          <w:numId w:val="6"/>
        </w:numPr>
        <w:spacing w:after="40" w:line="360" w:lineRule="atLeast"/>
        <w:ind w:left="720"/>
      </w:pPr>
      <w:r>
        <w:rPr>
          <w:rFonts w:ascii="Arial" w:hAnsi="Arial" w:eastAsia="微软雅黑"/>
          <w:sz w:val="21"/>
          <w:szCs w:val="21"/>
        </w:rPr>
        <w:t>明确项目详细实施周期、分阶段交付节点、验收标准、售后保障体系、应急处置流程。</w:t>
      </w:r>
    </w:p>
    <w:p w14:paraId="082E29E7">
      <w:pPr>
        <w:pStyle w:val="16"/>
        <w:numPr>
          <w:ilvl w:val="0"/>
          <w:numId w:val="6"/>
        </w:numPr>
        <w:spacing w:after="40" w:line="360" w:lineRule="atLeast"/>
        <w:ind w:left="720"/>
      </w:pPr>
      <w:r>
        <w:rPr>
          <w:rFonts w:ascii="Arial" w:hAnsi="Arial" w:eastAsia="微软雅黑"/>
          <w:sz w:val="21"/>
          <w:szCs w:val="21"/>
        </w:rPr>
        <w:t>所有应答内容需真实有效，若存在虚假应答、参数造假情况，直接取消参评资格，并由厂商承担相应责任。</w:t>
      </w:r>
    </w:p>
    <w:sectPr>
      <w:headerReference r:id="rId5" w:type="default"/>
      <w:footerReference r:id="rId6" w:type="default"/>
      <w:pgSz w:w="11906" w:h="16838"/>
      <w:pgMar w:top="2098" w:right="1474" w:bottom="1984" w:left="1587" w:header="708" w:footer="708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935BDA3">
    <w:pPr>
      <w:jc w:val="center"/>
    </w:pPr>
    <w:r>
      <w:rPr>
        <w:rFonts w:ascii="Arial" w:hAnsi="Arial" w:eastAsia="微软雅黑"/>
        <w:sz w:val="18"/>
        <w:szCs w:val="18"/>
      </w:rPr>
      <w:t xml:space="preserve">— </w:t>
    </w:r>
    <w:r>
      <w:rPr>
        <w:rFonts w:ascii="Arial" w:hAnsi="Arial" w:eastAsia="微软雅黑"/>
        <w:sz w:val="18"/>
        <w:szCs w:val="18"/>
      </w:rPr>
      <w:fldChar w:fldCharType="begin"/>
    </w:r>
    <w:r>
      <w:rPr>
        <w:rFonts w:ascii="Arial" w:hAnsi="Arial" w:eastAsia="微软雅黑"/>
        <w:sz w:val="18"/>
        <w:szCs w:val="18"/>
      </w:rPr>
      <w:instrText xml:space="preserve">PAGE</w:instrText>
    </w:r>
    <w:r>
      <w:rPr>
        <w:rFonts w:ascii="Arial" w:hAnsi="Arial" w:eastAsia="微软雅黑"/>
        <w:sz w:val="18"/>
        <w:szCs w:val="18"/>
      </w:rPr>
      <w:fldChar w:fldCharType="separate"/>
    </w:r>
    <w:r>
      <w:rPr>
        <w:rFonts w:ascii="Arial" w:hAnsi="Arial" w:eastAsia="微软雅黑"/>
        <w:sz w:val="18"/>
        <w:szCs w:val="18"/>
      </w:rPr>
      <w:fldChar w:fldCharType="end"/>
    </w:r>
    <w:r>
      <w:rPr>
        <w:rFonts w:ascii="Arial" w:hAnsi="Arial" w:eastAsia="微软雅黑"/>
        <w:sz w:val="18"/>
        <w:szCs w:val="18"/>
      </w:rPr>
      <w:t xml:space="preserve"> 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5C48272">
    <w:r>
      <mc:AlternateContent>
        <mc:Choice Requires="wps">
          <w:drawing>
            <wp:anchor distT="0" distB="0" distL="0" distR="0" simplePos="0" relativeHeight="251659264" behindDoc="1" locked="0" layoutInCell="0" allowOverlap="1">
              <wp:simplePos x="0" y="0"/>
              <wp:positionH relativeFrom="page">
                <wp:align>right</wp:align>
              </wp:positionH>
              <wp:positionV relativeFrom="page">
                <wp:align>bottom</wp:align>
              </wp:positionV>
              <wp:extent cx="2200275" cy="349885"/>
              <wp:effectExtent l="0" t="0" r="0" b="0"/>
              <wp:wrapNone/>
              <wp:docPr id="1" name="Waterma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00000" cy="350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3A96F89">
                          <w:pPr>
                            <w:jc w:val="both"/>
                          </w:pPr>
                        </w:p>
                      </w:txbxContent>
                    </wps:txbx>
                    <wps:bodyPr wrap="square" lIns="0" tIns="0" rIns="91440" bIns="45720" anchor="b" anchorCtr="0"/>
                  </wps:wsp>
                </a:graphicData>
              </a:graphic>
            </wp:anchor>
          </w:drawing>
        </mc:Choice>
        <mc:Fallback>
          <w:pict>
            <v:shape id="Watermark" o:spid="_x0000_s1026" o:spt="202" type="#_x0000_t202" style="position:absolute;left:0pt;height:27.55pt;width:173.25pt;mso-position-horizontal:right;mso-position-horizontal-relative:page;mso-position-vertical:bottom;mso-position-vertical-relative:page;z-index:-251657216;v-text-anchor:bottom;mso-width-relative:page;mso-height-relative:page;" filled="f" stroked="f" coordsize="21600,21600" o:allowincell="f" o:gfxdata="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vLbXZNUAAAAEAQAADwAAAAAAAAABACAAAAAiAAAAZHJzL2Rvd25yZXYueG1s&#10;UEsBAhQAFAAAAAgAh07iQMHhyRzCAQAAkwMAAA4AAAAAAAAAAQAgAAAAJA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2.54mm,1.27mm">
                <w:txbxContent>
                  <w:p w14:paraId="33A96F89">
                    <w:pPr>
                      <w:jc w:val="both"/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5E306ED"/>
    <w:multiLevelType w:val="singleLevel"/>
    <w:tmpl w:val="B5E306ED"/>
    <w:lvl w:ilvl="0" w:tentative="0">
      <w:start w:val="1"/>
      <w:numFmt w:val="decimal"/>
      <w:lvlText w:val="%1."/>
      <w:lvlJc w:val="left"/>
      <w:pPr>
        <w:ind w:left="720" w:hanging="360"/>
      </w:pPr>
    </w:lvl>
  </w:abstractNum>
  <w:abstractNum w:abstractNumId="1">
    <w:nsid w:val="0053208E"/>
    <w:multiLevelType w:val="multilevel"/>
    <w:tmpl w:val="0053208E"/>
    <w:lvl w:ilvl="0" w:tentative="0">
      <w:start w:val="1"/>
      <w:numFmt w:val="chineseCounting"/>
      <w:pStyle w:val="2"/>
      <w:lvlText w:val="%1、"/>
      <w:lvlJc w:val="left"/>
      <w:pPr>
        <w:ind w:left="0" w:hanging="432"/>
      </w:pPr>
    </w:lvl>
    <w:lvl w:ilvl="1" w:tentative="0">
      <w:start w:val="1"/>
      <w:numFmt w:val="chineseCounting"/>
      <w:pStyle w:val="3"/>
      <w:lvlText w:val="（%2）"/>
      <w:lvlJc w:val="left"/>
      <w:pPr>
        <w:ind w:left="432" w:hanging="432"/>
      </w:pPr>
    </w:lvl>
    <w:lvl w:ilvl="2" w:tentative="0">
      <w:start w:val="1"/>
      <w:numFmt w:val="decimal"/>
      <w:pStyle w:val="4"/>
      <w:lvlText w:val="%3."/>
      <w:lvlJc w:val="left"/>
      <w:pPr>
        <w:ind w:left="864" w:hanging="432"/>
      </w:pPr>
    </w:lvl>
  </w:abstractNum>
  <w:abstractNum w:abstractNumId="2">
    <w:nsid w:val="0248C179"/>
    <w:multiLevelType w:val="singleLevel"/>
    <w:tmpl w:val="0248C179"/>
    <w:lvl w:ilvl="0" w:tentative="0">
      <w:start w:val="1"/>
      <w:numFmt w:val="decimal"/>
      <w:lvlText w:val="%1."/>
      <w:lvlJc w:val="left"/>
      <w:pPr>
        <w:ind w:left="720" w:hanging="360"/>
      </w:pPr>
    </w:lvl>
  </w:abstractNum>
  <w:abstractNum w:abstractNumId="3">
    <w:nsid w:val="25B654F3"/>
    <w:multiLevelType w:val="singleLevel"/>
    <w:tmpl w:val="25B654F3"/>
    <w:lvl w:ilvl="0" w:tentative="0">
      <w:start w:val="1"/>
      <w:numFmt w:val="decimal"/>
      <w:lvlText w:val="%1."/>
      <w:lvlJc w:val="left"/>
      <w:pPr>
        <w:ind w:left="720" w:hanging="360"/>
      </w:pPr>
    </w:lvl>
  </w:abstractNum>
  <w:abstractNum w:abstractNumId="4">
    <w:nsid w:val="2A8F537B"/>
    <w:multiLevelType w:val="singleLevel"/>
    <w:tmpl w:val="2A8F537B"/>
    <w:lvl w:ilvl="0" w:tentative="0">
      <w:start w:val="1"/>
      <w:numFmt w:val="decimal"/>
      <w:lvlText w:val="%1."/>
      <w:lvlJc w:val="left"/>
      <w:pPr>
        <w:ind w:left="720" w:hanging="360"/>
      </w:pPr>
    </w:lvl>
  </w:abstractNum>
  <w:abstractNum w:abstractNumId="5">
    <w:nsid w:val="59ADCABA"/>
    <w:multiLevelType w:val="singleLevel"/>
    <w:tmpl w:val="59ADCABA"/>
    <w:lvl w:ilvl="0" w:tentative="0">
      <w:start w:val="1"/>
      <w:numFmt w:val="decimal"/>
      <w:lvlText w:val="%1.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  <w:num w:numId="2">
    <w:abstractNumId w:val="5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3"/>
    <w:lvlOverride w:ilvl="0">
      <w:startOverride w:val="1"/>
    </w:lvlOverride>
  </w:num>
  <w:num w:numId="5">
    <w:abstractNumId w:val="2"/>
    <w:lvlOverride w:ilvl="0">
      <w:startOverride w:val="1"/>
    </w:lvlOverride>
  </w:num>
  <w:num w:numId="6">
    <w:abstractNumId w:val="4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2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compatSetting w:name="compatibilityMode" w:uri="http://schemas.microsoft.com/office/word" w:val="15"/>
  </w:compat>
  <w:rsids>
    <w:rsidRoot w:val="00000000"/>
    <w:rsid w:val="006A7738"/>
    <w:rsid w:val="4D0B7827"/>
    <w:rsid w:val="7DF15C7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99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iPriority="99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qFormat="1" w:uiPriority="99" w:name="endnote reference"/>
    <w:lsdException w:qFormat="1" w:uiPriority="99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60" w:line="360" w:lineRule="atLeast"/>
    </w:pPr>
    <w:rPr>
      <w:rFonts w:ascii="Arial" w:hAnsi="Arial" w:eastAsia="微软雅黑" w:cstheme="minorBidi"/>
      <w:sz w:val="21"/>
      <w:szCs w:val="21"/>
    </w:rPr>
  </w:style>
  <w:style w:type="paragraph" w:styleId="2">
    <w:name w:val="heading 1"/>
    <w:next w:val="1"/>
    <w:qFormat/>
    <w:uiPriority w:val="0"/>
    <w:pPr>
      <w:keepNext w:val="0"/>
      <w:keepLines w:val="0"/>
      <w:numPr>
        <w:ilvl w:val="0"/>
        <w:numId w:val="1"/>
      </w:numPr>
      <w:spacing w:before="240" w:after="120" w:line="312" w:lineRule="auto"/>
      <w:outlineLvl w:val="0"/>
    </w:pPr>
    <w:rPr>
      <w:rFonts w:ascii="Arial" w:hAnsi="Arial" w:eastAsia="微软雅黑" w:cstheme="minorBidi"/>
      <w:b/>
      <w:bCs/>
      <w:sz w:val="32"/>
      <w:szCs w:val="32"/>
    </w:rPr>
  </w:style>
  <w:style w:type="paragraph" w:styleId="3">
    <w:name w:val="heading 2"/>
    <w:next w:val="1"/>
    <w:qFormat/>
    <w:uiPriority w:val="0"/>
    <w:pPr>
      <w:keepNext w:val="0"/>
      <w:keepLines w:val="0"/>
      <w:numPr>
        <w:ilvl w:val="1"/>
        <w:numId w:val="1"/>
      </w:numPr>
      <w:spacing w:before="180" w:after="80" w:line="312" w:lineRule="auto"/>
      <w:outlineLvl w:val="1"/>
    </w:pPr>
    <w:rPr>
      <w:rFonts w:ascii="Arial" w:hAnsi="Arial" w:eastAsia="微软雅黑" w:cstheme="minorBidi"/>
      <w:b/>
      <w:bCs/>
      <w:sz w:val="30"/>
      <w:szCs w:val="30"/>
    </w:rPr>
  </w:style>
  <w:style w:type="paragraph" w:styleId="4">
    <w:name w:val="heading 3"/>
    <w:next w:val="1"/>
    <w:qFormat/>
    <w:uiPriority w:val="0"/>
    <w:pPr>
      <w:keepNext w:val="0"/>
      <w:keepLines w:val="0"/>
      <w:numPr>
        <w:ilvl w:val="2"/>
        <w:numId w:val="1"/>
      </w:numPr>
      <w:spacing w:before="120" w:after="60" w:line="312" w:lineRule="auto"/>
      <w:outlineLvl w:val="2"/>
    </w:pPr>
    <w:rPr>
      <w:rFonts w:ascii="Arial" w:hAnsi="Arial" w:eastAsia="微软雅黑" w:cstheme="minorBidi"/>
      <w:b/>
      <w:bCs/>
      <w:sz w:val="28"/>
      <w:szCs w:val="28"/>
    </w:rPr>
  </w:style>
  <w:style w:type="paragraph" w:styleId="5">
    <w:name w:val="heading 4"/>
    <w:basedOn w:val="1"/>
    <w:next w:val="1"/>
    <w:qFormat/>
    <w:uiPriority w:val="0"/>
    <w:rPr>
      <w:i/>
      <w:iCs/>
      <w:color w:val="2E74B5"/>
    </w:rPr>
  </w:style>
  <w:style w:type="paragraph" w:styleId="6">
    <w:name w:val="heading 5"/>
    <w:basedOn w:val="1"/>
    <w:next w:val="1"/>
    <w:qFormat/>
    <w:uiPriority w:val="0"/>
    <w:rPr>
      <w:color w:val="2E74B5"/>
    </w:rPr>
  </w:style>
  <w:style w:type="paragraph" w:styleId="7">
    <w:name w:val="heading 6"/>
    <w:basedOn w:val="1"/>
    <w:next w:val="1"/>
    <w:qFormat/>
    <w:uiPriority w:val="0"/>
    <w:rPr>
      <w:color w:val="1F4D78"/>
    </w:rPr>
  </w:style>
  <w:style w:type="character" w:default="1" w:styleId="12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endnote text"/>
    <w:basedOn w:val="1"/>
    <w:link w:val="18"/>
    <w:semiHidden/>
    <w:unhideWhenUsed/>
    <w:qFormat/>
    <w:uiPriority w:val="99"/>
    <w:pPr>
      <w:spacing w:after="0" w:line="240" w:lineRule="auto"/>
    </w:pPr>
    <w:rPr>
      <w:sz w:val="20"/>
      <w:szCs w:val="20"/>
    </w:rPr>
  </w:style>
  <w:style w:type="paragraph" w:styleId="9">
    <w:name w:val="footnote text"/>
    <w:basedOn w:val="1"/>
    <w:link w:val="17"/>
    <w:semiHidden/>
    <w:unhideWhenUsed/>
    <w:qFormat/>
    <w:uiPriority w:val="99"/>
    <w:pPr>
      <w:spacing w:after="0" w:line="240" w:lineRule="auto"/>
    </w:pPr>
    <w:rPr>
      <w:sz w:val="20"/>
      <w:szCs w:val="20"/>
    </w:rPr>
  </w:style>
  <w:style w:type="paragraph" w:styleId="10">
    <w:name w:val="Title"/>
    <w:basedOn w:val="1"/>
    <w:next w:val="1"/>
    <w:qFormat/>
    <w:uiPriority w:val="0"/>
    <w:rPr>
      <w:sz w:val="56"/>
      <w:szCs w:val="56"/>
    </w:rPr>
  </w:style>
  <w:style w:type="character" w:styleId="13">
    <w:name w:val="endnote reference"/>
    <w:semiHidden/>
    <w:unhideWhenUsed/>
    <w:qFormat/>
    <w:uiPriority w:val="99"/>
    <w:rPr>
      <w:vertAlign w:val="superscript"/>
    </w:rPr>
  </w:style>
  <w:style w:type="character" w:styleId="14">
    <w:name w:val="Hyperlink"/>
    <w:unhideWhenUsed/>
    <w:qFormat/>
    <w:uiPriority w:val="99"/>
    <w:rPr>
      <w:color w:val="0563C1"/>
      <w:u w:val="single"/>
    </w:rPr>
  </w:style>
  <w:style w:type="character" w:styleId="15">
    <w:name w:val="footnote reference"/>
    <w:semiHidden/>
    <w:unhideWhenUsed/>
    <w:qFormat/>
    <w:uiPriority w:val="99"/>
    <w:rPr>
      <w:vertAlign w:val="superscript"/>
    </w:rPr>
  </w:style>
  <w:style w:type="paragraph" w:styleId="16">
    <w:name w:val="List Paragraph"/>
    <w:basedOn w:val="1"/>
    <w:qFormat/>
    <w:uiPriority w:val="0"/>
  </w:style>
  <w:style w:type="character" w:customStyle="1" w:styleId="17">
    <w:name w:val="Footnote Text Char"/>
    <w:link w:val="9"/>
    <w:semiHidden/>
    <w:unhideWhenUsed/>
    <w:qFormat/>
    <w:uiPriority w:val="99"/>
    <w:rPr>
      <w:sz w:val="20"/>
      <w:szCs w:val="20"/>
    </w:rPr>
  </w:style>
  <w:style w:type="character" w:customStyle="1" w:styleId="18">
    <w:name w:val="Endnote Text Char"/>
    <w:link w:val="8"/>
    <w:semiHidden/>
    <w:unhideWhenUsed/>
    <w:qFormat/>
    <w:uiPriority w:val="99"/>
    <w:rPr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6</Pages>
  <Words>3326</Words>
  <Characters>3496</Characters>
  <TotalTime>250</TotalTime>
  <ScaleCrop>false</ScaleCrop>
  <LinksUpToDate>false</LinksUpToDate>
  <CharactersWithSpaces>3498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2026-07-02T06:07:00Z</dcterms:created>
  <dc:creator>Un-named</dc:creator>
  <cp:lastModifiedBy>吴昱</cp:lastModifiedBy>
  <dcterms:modified xsi:type="dcterms:W3CDTF">2026-07-06T06:45:21Z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eyJoZGlkIjoiOTIzNzNlNTZlMjcwY2ViMGFjN2ViY2M4ZDJiMTQ5MzQiLCJ1c2VySWQiOiIxMzM3NzkyNDIwIn0=</vt:lpwstr>
  </property>
  <property fmtid="{D5CDD505-2E9C-101B-9397-08002B2CF9AE}" pid="3" name="KSOProductBuildVer">
    <vt:lpwstr>2052-12.1.0.26895</vt:lpwstr>
  </property>
  <property fmtid="{D5CDD505-2E9C-101B-9397-08002B2CF9AE}" pid="4" name="ICV">
    <vt:lpwstr>74CA8A1CC72141B8894A736F365427BA_13</vt:lpwstr>
  </property>
</Properties>
</file>