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1304"/>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8264"/>
      <w:bookmarkStart w:id="8" w:name="_Toc15376"/>
      <w:bookmarkStart w:id="9" w:name="_Toc5909"/>
      <w:bookmarkStart w:id="10" w:name="_Toc22435"/>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项目名称：</w:t>
      </w:r>
      <w:r>
        <w:rPr>
          <w:rFonts w:hint="default" w:ascii="宋体" w:hAnsi="宋体" w:cs="宋体"/>
          <w:color w:val="auto"/>
          <w:sz w:val="24"/>
          <w:szCs w:val="24"/>
          <w:lang w:val="en-US" w:eastAsia="zh-CN"/>
        </w:rPr>
        <w:t>甲型流感病毒、乙型流感病毒核酸检测试剂盒</w:t>
      </w:r>
      <w:r>
        <w:rPr>
          <w:rFonts w:hint="eastAsia" w:ascii="宋体" w:hAnsi="宋体" w:cs="宋体"/>
          <w:color w:val="auto"/>
          <w:sz w:val="24"/>
          <w:szCs w:val="24"/>
          <w:lang w:val="en-US" w:eastAsia="zh-CN"/>
        </w:rPr>
        <w:t>等</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76373865"/>
            <w:bookmarkStart w:id="16" w:name="_Toc18060"/>
            <w:bookmarkStart w:id="17" w:name="_Toc5838"/>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857017A">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包一</w:t>
            </w:r>
          </w:p>
        </w:tc>
        <w:tc>
          <w:tcPr>
            <w:tcW w:w="2298" w:type="dxa"/>
            <w:shd w:val="clear" w:color="auto" w:fill="auto"/>
            <w:noWrap w:val="0"/>
            <w:vAlign w:val="center"/>
          </w:tcPr>
          <w:p w14:paraId="63087F06">
            <w:pPr>
              <w:widowControl/>
              <w:spacing w:line="400" w:lineRule="exact"/>
              <w:jc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color w:val="auto"/>
                <w:sz w:val="20"/>
                <w:szCs w:val="20"/>
                <w:lang w:val="en-US" w:eastAsia="zh-CN"/>
              </w:rPr>
              <w:t>甲型流感病毒、乙型流感病毒核酸检测试剂盒</w:t>
            </w:r>
          </w:p>
        </w:tc>
        <w:tc>
          <w:tcPr>
            <w:tcW w:w="1485" w:type="dxa"/>
            <w:shd w:val="clear" w:color="auto" w:fill="auto"/>
            <w:noWrap w:val="0"/>
            <w:vAlign w:val="center"/>
          </w:tcPr>
          <w:p w14:paraId="3F6F0981">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kern w:val="2"/>
                <w:sz w:val="20"/>
                <w:szCs w:val="20"/>
                <w:lang w:val="en-US" w:eastAsia="zh-CN" w:bidi="ar-SA"/>
              </w:rPr>
              <w:t>按实结算</w:t>
            </w:r>
          </w:p>
        </w:tc>
        <w:tc>
          <w:tcPr>
            <w:tcW w:w="1594" w:type="dxa"/>
            <w:shd w:val="clear" w:color="auto" w:fill="auto"/>
            <w:noWrap w:val="0"/>
            <w:vAlign w:val="center"/>
          </w:tcPr>
          <w:p w14:paraId="41889599">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宋体" w:cs="Times New Roman"/>
                <w:color w:val="auto"/>
                <w:kern w:val="2"/>
                <w:sz w:val="20"/>
                <w:szCs w:val="20"/>
                <w:highlight w:val="none"/>
                <w:lang w:val="en-US" w:eastAsia="zh-CN" w:bidi="ar-SA"/>
              </w:rPr>
              <w:t>1</w:t>
            </w:r>
            <w:r>
              <w:rPr>
                <w:rFonts w:hint="eastAsia" w:cs="Times New Roman"/>
                <w:color w:val="auto"/>
                <w:kern w:val="2"/>
                <w:sz w:val="20"/>
                <w:szCs w:val="20"/>
                <w:highlight w:val="none"/>
                <w:lang w:val="en-US" w:eastAsia="zh-CN" w:bidi="ar-SA"/>
              </w:rPr>
              <w:t>-2</w:t>
            </w:r>
          </w:p>
        </w:tc>
        <w:tc>
          <w:tcPr>
            <w:tcW w:w="1594" w:type="dxa"/>
            <w:vMerge w:val="restart"/>
            <w:noWrap w:val="0"/>
            <w:vAlign w:val="center"/>
          </w:tcPr>
          <w:p w14:paraId="022FC75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检验科</w:t>
            </w:r>
          </w:p>
        </w:tc>
      </w:tr>
      <w:tr w14:paraId="58AB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73F4EA5">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二</w:t>
            </w:r>
          </w:p>
        </w:tc>
        <w:tc>
          <w:tcPr>
            <w:tcW w:w="2298" w:type="dxa"/>
            <w:shd w:val="clear" w:color="auto" w:fill="auto"/>
            <w:noWrap w:val="0"/>
            <w:vAlign w:val="center"/>
          </w:tcPr>
          <w:p w14:paraId="54927A30">
            <w:pPr>
              <w:widowControl/>
              <w:spacing w:line="400" w:lineRule="exact"/>
              <w:jc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color w:val="auto"/>
                <w:sz w:val="20"/>
                <w:szCs w:val="20"/>
                <w:lang w:val="en-US" w:eastAsia="zh-CN"/>
              </w:rPr>
              <w:t>甲型流感病毒、乙型流感病毒及呼吸道合胞病毒核酸检测试剂盒</w:t>
            </w:r>
          </w:p>
        </w:tc>
        <w:tc>
          <w:tcPr>
            <w:tcW w:w="1485" w:type="dxa"/>
            <w:shd w:val="clear" w:color="auto" w:fill="auto"/>
            <w:noWrap w:val="0"/>
            <w:vAlign w:val="center"/>
          </w:tcPr>
          <w:p w14:paraId="70F600AB">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kern w:val="2"/>
                <w:sz w:val="20"/>
                <w:szCs w:val="20"/>
                <w:lang w:val="en-US" w:eastAsia="zh-CN" w:bidi="ar-SA"/>
              </w:rPr>
              <w:t>按实结算</w:t>
            </w:r>
          </w:p>
        </w:tc>
        <w:tc>
          <w:tcPr>
            <w:tcW w:w="1594" w:type="dxa"/>
            <w:shd w:val="clear" w:color="auto" w:fill="auto"/>
            <w:noWrap w:val="0"/>
            <w:vAlign w:val="center"/>
          </w:tcPr>
          <w:p w14:paraId="1C867FFA">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宋体" w:cs="Times New Roman"/>
                <w:color w:val="auto"/>
                <w:kern w:val="2"/>
                <w:sz w:val="20"/>
                <w:szCs w:val="20"/>
                <w:highlight w:val="none"/>
                <w:lang w:val="en-US" w:eastAsia="zh-CN" w:bidi="ar-SA"/>
              </w:rPr>
              <w:t>1</w:t>
            </w:r>
            <w:r>
              <w:rPr>
                <w:rFonts w:hint="eastAsia" w:cs="Times New Roman"/>
                <w:color w:val="auto"/>
                <w:kern w:val="2"/>
                <w:sz w:val="20"/>
                <w:szCs w:val="20"/>
                <w:highlight w:val="none"/>
                <w:lang w:val="en-US" w:eastAsia="zh-CN" w:bidi="ar-SA"/>
              </w:rPr>
              <w:t>-2</w:t>
            </w:r>
          </w:p>
        </w:tc>
        <w:tc>
          <w:tcPr>
            <w:tcW w:w="1594" w:type="dxa"/>
            <w:vMerge w:val="continue"/>
            <w:noWrap w:val="0"/>
            <w:vAlign w:val="center"/>
          </w:tcPr>
          <w:p w14:paraId="255BE3C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0EFF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21504AE">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三</w:t>
            </w:r>
          </w:p>
        </w:tc>
        <w:tc>
          <w:tcPr>
            <w:tcW w:w="2298" w:type="dxa"/>
            <w:shd w:val="clear" w:color="auto" w:fill="auto"/>
            <w:noWrap w:val="0"/>
            <w:vAlign w:val="center"/>
          </w:tcPr>
          <w:p w14:paraId="0A4AE180">
            <w:pPr>
              <w:widowControl/>
              <w:spacing w:line="400" w:lineRule="exact"/>
              <w:jc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color w:val="auto"/>
                <w:sz w:val="20"/>
                <w:szCs w:val="20"/>
                <w:lang w:val="en-US" w:eastAsia="zh-CN"/>
              </w:rPr>
              <w:t>急诊肌钙蛋白三联(cTnl、CK-MB、MYO)检测试剂盒及配套设备</w:t>
            </w:r>
          </w:p>
        </w:tc>
        <w:tc>
          <w:tcPr>
            <w:tcW w:w="1485" w:type="dxa"/>
            <w:shd w:val="clear" w:color="auto" w:fill="auto"/>
            <w:noWrap w:val="0"/>
            <w:vAlign w:val="center"/>
          </w:tcPr>
          <w:p w14:paraId="1C9D9FE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kern w:val="2"/>
                <w:sz w:val="20"/>
                <w:szCs w:val="20"/>
                <w:lang w:val="en-US" w:eastAsia="zh-CN" w:bidi="ar-SA"/>
              </w:rPr>
              <w:t>按实结算</w:t>
            </w:r>
          </w:p>
        </w:tc>
        <w:tc>
          <w:tcPr>
            <w:tcW w:w="1594" w:type="dxa"/>
            <w:shd w:val="clear" w:color="auto" w:fill="auto"/>
            <w:noWrap w:val="0"/>
            <w:vAlign w:val="center"/>
          </w:tcPr>
          <w:p w14:paraId="550919E6">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宋体" w:cs="Times New Roman"/>
                <w:color w:val="auto"/>
                <w:kern w:val="2"/>
                <w:sz w:val="20"/>
                <w:szCs w:val="20"/>
                <w:highlight w:val="none"/>
                <w:lang w:val="en-US" w:eastAsia="zh-CN" w:bidi="ar-SA"/>
              </w:rPr>
              <w:t>1</w:t>
            </w:r>
          </w:p>
        </w:tc>
        <w:tc>
          <w:tcPr>
            <w:tcW w:w="1594" w:type="dxa"/>
            <w:vMerge w:val="continue"/>
            <w:noWrap w:val="0"/>
            <w:vAlign w:val="center"/>
          </w:tcPr>
          <w:p w14:paraId="2E56F1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6241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3DE1714">
            <w:pPr>
              <w:widowControl/>
              <w:spacing w:line="400" w:lineRule="exact"/>
              <w:jc w:val="center"/>
              <w:rPr>
                <w:rFonts w:hint="default"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四</w:t>
            </w:r>
          </w:p>
        </w:tc>
        <w:tc>
          <w:tcPr>
            <w:tcW w:w="2298" w:type="dxa"/>
            <w:shd w:val="clear" w:color="auto" w:fill="auto"/>
            <w:noWrap w:val="0"/>
            <w:vAlign w:val="center"/>
          </w:tcPr>
          <w:p w14:paraId="6D40A7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呼吸道病原菌核酸检测试剂盒</w:t>
            </w:r>
          </w:p>
        </w:tc>
        <w:tc>
          <w:tcPr>
            <w:tcW w:w="1485" w:type="dxa"/>
            <w:shd w:val="clear" w:color="auto" w:fill="auto"/>
            <w:noWrap w:val="0"/>
            <w:vAlign w:val="center"/>
          </w:tcPr>
          <w:p w14:paraId="6BDD4D30">
            <w:pPr>
              <w:spacing w:before="120" w:beforeLines="50" w:beforeAutospacing="0" w:after="0" w:afterAutospacing="0" w:line="400" w:lineRule="exact"/>
              <w:jc w:val="center"/>
              <w:rPr>
                <w:rFonts w:hint="default"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78ECB02C">
            <w:pPr>
              <w:spacing w:before="120" w:beforeLines="50" w:beforeAutospacing="0" w:after="0" w:afterAutospacing="0" w:line="400" w:lineRule="exact"/>
              <w:jc w:val="center"/>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37868CA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2AD0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461895B">
            <w:pPr>
              <w:widowControl/>
              <w:spacing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五</w:t>
            </w:r>
          </w:p>
        </w:tc>
        <w:tc>
          <w:tcPr>
            <w:tcW w:w="2298" w:type="dxa"/>
            <w:shd w:val="clear" w:color="auto" w:fill="auto"/>
            <w:noWrap w:val="0"/>
            <w:vAlign w:val="center"/>
          </w:tcPr>
          <w:p w14:paraId="7CA116BB">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0"/>
                <w:szCs w:val="20"/>
                <w:u w:val="no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八联PCR管及平顶光学八联管盖</w:t>
            </w:r>
          </w:p>
        </w:tc>
        <w:tc>
          <w:tcPr>
            <w:tcW w:w="1485" w:type="dxa"/>
            <w:shd w:val="clear" w:color="auto" w:fill="auto"/>
            <w:noWrap w:val="0"/>
            <w:vAlign w:val="center"/>
          </w:tcPr>
          <w:p w14:paraId="292D69E9">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5D8647AB">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5D7CBD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6B09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479912D">
            <w:pPr>
              <w:widowControl/>
              <w:spacing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六</w:t>
            </w:r>
          </w:p>
        </w:tc>
        <w:tc>
          <w:tcPr>
            <w:tcW w:w="2298" w:type="dxa"/>
            <w:shd w:val="clear" w:color="auto" w:fill="auto"/>
            <w:noWrap w:val="0"/>
            <w:vAlign w:val="center"/>
          </w:tcPr>
          <w:p w14:paraId="45858A80">
            <w:pPr>
              <w:keepNext w:val="0"/>
              <w:keepLines w:val="0"/>
              <w:widowControl/>
              <w:suppressLineNumbers w:val="0"/>
              <w:jc w:val="center"/>
              <w:textAlignment w:val="center"/>
              <w:rPr>
                <w:rFonts w:hint="eastAsia" w:ascii="Times New Roman" w:hAnsi="Times New Roman" w:eastAsia="宋体" w:cs="Times New Roman"/>
                <w:i w:val="0"/>
                <w:iCs w:val="0"/>
                <w:color w:val="0000FF"/>
                <w:kern w:val="2"/>
                <w:sz w:val="20"/>
                <w:szCs w:val="20"/>
                <w:u w:val="no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尿液干化学分析/尿液有形成分分析及配套设备</w:t>
            </w:r>
          </w:p>
        </w:tc>
        <w:tc>
          <w:tcPr>
            <w:tcW w:w="1485" w:type="dxa"/>
            <w:shd w:val="clear" w:color="auto" w:fill="auto"/>
            <w:noWrap w:val="0"/>
            <w:vAlign w:val="center"/>
          </w:tcPr>
          <w:p w14:paraId="0AB02070">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106356F1">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4E541BD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5576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0A63299">
            <w:pPr>
              <w:widowControl/>
              <w:spacing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七</w:t>
            </w:r>
          </w:p>
        </w:tc>
        <w:tc>
          <w:tcPr>
            <w:tcW w:w="2298" w:type="dxa"/>
            <w:shd w:val="clear" w:color="auto" w:fill="auto"/>
            <w:noWrap w:val="0"/>
            <w:vAlign w:val="center"/>
          </w:tcPr>
          <w:p w14:paraId="032DFB8C">
            <w:pPr>
              <w:keepNext w:val="0"/>
              <w:keepLines w:val="0"/>
              <w:widowControl/>
              <w:suppressLineNumbers w:val="0"/>
              <w:jc w:val="center"/>
              <w:textAlignment w:val="center"/>
              <w:rPr>
                <w:rFonts w:hint="eastAsia" w:ascii="Times New Roman" w:hAnsi="Times New Roman" w:eastAsia="宋体" w:cs="Times New Roman"/>
                <w:i w:val="0"/>
                <w:iCs w:val="0"/>
                <w:color w:val="0000FF"/>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抗HIV抗体、抗梅毒特异性抗体检测试剂盒及配套设备</w:t>
            </w:r>
          </w:p>
        </w:tc>
        <w:tc>
          <w:tcPr>
            <w:tcW w:w="1485" w:type="dxa"/>
            <w:shd w:val="clear" w:color="auto" w:fill="auto"/>
            <w:noWrap w:val="0"/>
            <w:vAlign w:val="center"/>
          </w:tcPr>
          <w:p w14:paraId="1FF4932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4EB1C888">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79D44F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55FB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60F3804D">
            <w:pPr>
              <w:widowControl/>
              <w:spacing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八</w:t>
            </w:r>
          </w:p>
        </w:tc>
        <w:tc>
          <w:tcPr>
            <w:tcW w:w="2298" w:type="dxa"/>
            <w:shd w:val="clear" w:color="auto" w:fill="auto"/>
            <w:noWrap w:val="0"/>
            <w:vAlign w:val="center"/>
          </w:tcPr>
          <w:p w14:paraId="08D0FFBE">
            <w:pPr>
              <w:keepNext w:val="0"/>
              <w:keepLines w:val="0"/>
              <w:widowControl/>
              <w:suppressLineNumbers w:val="0"/>
              <w:jc w:val="center"/>
              <w:textAlignment w:val="center"/>
              <w:rPr>
                <w:rFonts w:hint="eastAsia" w:ascii="Times New Roman" w:hAnsi="Times New Roman" w:eastAsia="宋体" w:cs="Times New Roman"/>
                <w:i w:val="0"/>
                <w:iCs w:val="0"/>
                <w:color w:val="0000FF"/>
                <w:kern w:val="2"/>
                <w:sz w:val="20"/>
                <w:szCs w:val="20"/>
                <w:u w:val="no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结核传染T细胞检测试剂盒及配套设备</w:t>
            </w:r>
          </w:p>
        </w:tc>
        <w:tc>
          <w:tcPr>
            <w:tcW w:w="1485" w:type="dxa"/>
            <w:shd w:val="clear" w:color="auto" w:fill="auto"/>
            <w:noWrap w:val="0"/>
            <w:vAlign w:val="center"/>
          </w:tcPr>
          <w:p w14:paraId="2A2743E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67C81B14">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5E95D8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2D0A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0AB95A5">
            <w:pPr>
              <w:widowControl/>
              <w:spacing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九</w:t>
            </w:r>
          </w:p>
        </w:tc>
        <w:tc>
          <w:tcPr>
            <w:tcW w:w="2298" w:type="dxa"/>
            <w:shd w:val="clear" w:color="auto" w:fill="auto"/>
            <w:noWrap w:val="0"/>
            <w:vAlign w:val="center"/>
          </w:tcPr>
          <w:p w14:paraId="038EED7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尿液生化及特定蛋白检测试剂盒一批及配套设备</w:t>
            </w:r>
          </w:p>
        </w:tc>
        <w:tc>
          <w:tcPr>
            <w:tcW w:w="1485" w:type="dxa"/>
            <w:shd w:val="clear" w:color="auto" w:fill="auto"/>
            <w:noWrap w:val="0"/>
            <w:vAlign w:val="center"/>
          </w:tcPr>
          <w:p w14:paraId="3AB39D4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357B062F">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3832D9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3BAF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AD95ABF">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w:t>
            </w:r>
          </w:p>
        </w:tc>
        <w:tc>
          <w:tcPr>
            <w:tcW w:w="2298" w:type="dxa"/>
            <w:shd w:val="clear" w:color="auto" w:fill="auto"/>
            <w:noWrap w:val="0"/>
            <w:vAlign w:val="center"/>
          </w:tcPr>
          <w:p w14:paraId="669F7A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白念珠菌、热带念珠菌、光滑念珠菌核酸检测试剂盒</w:t>
            </w:r>
          </w:p>
        </w:tc>
        <w:tc>
          <w:tcPr>
            <w:tcW w:w="1485" w:type="dxa"/>
            <w:shd w:val="clear" w:color="auto" w:fill="auto"/>
            <w:noWrap w:val="0"/>
            <w:vAlign w:val="center"/>
          </w:tcPr>
          <w:p w14:paraId="21323534">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57745977">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45E7E1C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39F8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5130F70A">
            <w:pPr>
              <w:widowControl/>
              <w:spacing w:line="400" w:lineRule="exact"/>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十一</w:t>
            </w:r>
          </w:p>
        </w:tc>
        <w:tc>
          <w:tcPr>
            <w:tcW w:w="2298" w:type="dxa"/>
            <w:shd w:val="clear" w:color="auto" w:fill="auto"/>
            <w:noWrap w:val="0"/>
            <w:vAlign w:val="center"/>
          </w:tcPr>
          <w:p w14:paraId="5F652B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烟曲霉、黄曲霉、黑曲霉核酸检测试剂盒</w:t>
            </w:r>
          </w:p>
        </w:tc>
        <w:tc>
          <w:tcPr>
            <w:tcW w:w="1485" w:type="dxa"/>
            <w:shd w:val="clear" w:color="auto" w:fill="auto"/>
            <w:noWrap w:val="0"/>
            <w:vAlign w:val="center"/>
          </w:tcPr>
          <w:p w14:paraId="640F17D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2FDF7390">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1EA3F2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703F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22326570">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十二</w:t>
            </w:r>
          </w:p>
        </w:tc>
        <w:tc>
          <w:tcPr>
            <w:tcW w:w="2298" w:type="dxa"/>
            <w:shd w:val="clear" w:color="auto" w:fill="auto"/>
            <w:noWrap w:val="0"/>
            <w:vAlign w:val="center"/>
          </w:tcPr>
          <w:p w14:paraId="35DCAD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过敏原特异性IgE抗体检测试剂盒</w:t>
            </w:r>
          </w:p>
        </w:tc>
        <w:tc>
          <w:tcPr>
            <w:tcW w:w="1485" w:type="dxa"/>
            <w:shd w:val="clear" w:color="auto" w:fill="auto"/>
            <w:noWrap w:val="0"/>
            <w:vAlign w:val="center"/>
          </w:tcPr>
          <w:p w14:paraId="7619E3A4">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291248BC">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29E523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7F07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8FC27A3">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十三</w:t>
            </w:r>
          </w:p>
        </w:tc>
        <w:tc>
          <w:tcPr>
            <w:tcW w:w="2298" w:type="dxa"/>
            <w:shd w:val="clear" w:color="auto" w:fill="auto"/>
            <w:noWrap w:val="0"/>
            <w:vAlign w:val="center"/>
          </w:tcPr>
          <w:p w14:paraId="67B8A8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抗血小板抗体检测试剂盒</w:t>
            </w:r>
          </w:p>
        </w:tc>
        <w:tc>
          <w:tcPr>
            <w:tcW w:w="1485" w:type="dxa"/>
            <w:shd w:val="clear" w:color="auto" w:fill="auto"/>
            <w:noWrap w:val="0"/>
            <w:vAlign w:val="center"/>
          </w:tcPr>
          <w:p w14:paraId="43FCDE02">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2C46B122">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628532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5D73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4FC1E45C">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十四</w:t>
            </w:r>
          </w:p>
        </w:tc>
        <w:tc>
          <w:tcPr>
            <w:tcW w:w="2298" w:type="dxa"/>
            <w:shd w:val="clear" w:color="auto" w:fill="auto"/>
            <w:noWrap w:val="0"/>
            <w:vAlign w:val="center"/>
          </w:tcPr>
          <w:p w14:paraId="2A59F5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厌氧产气袋</w:t>
            </w:r>
          </w:p>
        </w:tc>
        <w:tc>
          <w:tcPr>
            <w:tcW w:w="1485" w:type="dxa"/>
            <w:shd w:val="clear" w:color="auto" w:fill="auto"/>
            <w:noWrap w:val="0"/>
            <w:vAlign w:val="center"/>
          </w:tcPr>
          <w:p w14:paraId="74E5039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466E397D">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658CD14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3917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A241ACC">
            <w:pPr>
              <w:widowControl/>
              <w:spacing w:line="400" w:lineRule="exact"/>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包十五</w:t>
            </w:r>
          </w:p>
        </w:tc>
        <w:tc>
          <w:tcPr>
            <w:tcW w:w="2298" w:type="dxa"/>
            <w:shd w:val="clear" w:color="auto" w:fill="auto"/>
            <w:noWrap w:val="0"/>
            <w:vAlign w:val="center"/>
          </w:tcPr>
          <w:p w14:paraId="754258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凝血四项检测试剂盒及配套耗材与配套设备</w:t>
            </w:r>
          </w:p>
        </w:tc>
        <w:tc>
          <w:tcPr>
            <w:tcW w:w="1485" w:type="dxa"/>
            <w:shd w:val="clear" w:color="auto" w:fill="auto"/>
            <w:noWrap w:val="0"/>
            <w:vAlign w:val="center"/>
          </w:tcPr>
          <w:p w14:paraId="0C201475">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4F5E493C">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385B4F7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r w14:paraId="35A0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63F6C2E2">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包十六</w:t>
            </w:r>
          </w:p>
        </w:tc>
        <w:tc>
          <w:tcPr>
            <w:tcW w:w="2298" w:type="dxa"/>
            <w:shd w:val="clear" w:color="auto" w:fill="auto"/>
            <w:noWrap w:val="0"/>
            <w:vAlign w:val="center"/>
          </w:tcPr>
          <w:p w14:paraId="5EE1B3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抗黑色素瘤分化相关基因5抗体检测试剂盒</w:t>
            </w:r>
          </w:p>
        </w:tc>
        <w:tc>
          <w:tcPr>
            <w:tcW w:w="1485" w:type="dxa"/>
            <w:shd w:val="clear" w:color="auto" w:fill="auto"/>
            <w:noWrap w:val="0"/>
            <w:vAlign w:val="center"/>
          </w:tcPr>
          <w:p w14:paraId="47FB1F70">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2FAE758D">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vMerge w:val="continue"/>
            <w:noWrap w:val="0"/>
            <w:vAlign w:val="center"/>
          </w:tcPr>
          <w:p w14:paraId="2BC87B1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before="120" w:beforeLines="50" w:line="240" w:lineRule="auto"/>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试剂项目三年，试剂项目</w:t>
      </w:r>
      <w:bookmarkStart w:id="195" w:name="_GoBack"/>
      <w:bookmarkEnd w:id="195"/>
      <w:r>
        <w:rPr>
          <w:rFonts w:hint="eastAsia" w:ascii="宋体" w:hAnsi="宋体" w:cs="宋体"/>
          <w:color w:val="auto"/>
          <w:sz w:val="24"/>
          <w:szCs w:val="24"/>
          <w:lang w:val="en-US" w:eastAsia="zh-CN"/>
        </w:rPr>
        <w:t>及配套设备五年</w:t>
      </w:r>
    </w:p>
    <w:p w14:paraId="686CB86A">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.本项目是/否接受联合竞选：否</w:t>
      </w:r>
    </w:p>
    <w:p w14:paraId="169A4D6D">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4.本项目仅支持采购重庆药品和医用耗材招采管理系统挂网产品。</w:t>
      </w:r>
    </w:p>
    <w:p w14:paraId="562DFA78">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5.以上项目中包1-15均为院内合同过期重招。</w:t>
      </w:r>
      <w:bookmarkEnd w:id="14"/>
      <w:bookmarkEnd w:id="15"/>
      <w:bookmarkEnd w:id="16"/>
      <w:bookmarkEnd w:id="17"/>
      <w:bookmarkEnd w:id="18"/>
      <w:bookmarkStart w:id="19" w:name="_Toc26504"/>
      <w:bookmarkStart w:id="20" w:name="_Toc3434"/>
      <w:bookmarkStart w:id="21" w:name="_Toc10137"/>
      <w:bookmarkStart w:id="22" w:name="_Toc76373866"/>
      <w:bookmarkStart w:id="23" w:name="_Toc25496"/>
      <w:bookmarkStart w:id="24" w:name="_Toc30358"/>
    </w:p>
    <w:p w14:paraId="470F7DA8">
      <w:pPr>
        <w:widowControl/>
        <w:spacing w:line="400" w:lineRule="exact"/>
        <w:outlineLvl w:val="1"/>
        <w:rPr>
          <w:rFonts w:hint="eastAsia" w:ascii="宋体" w:hAnsi="宋体" w:cs="宋体"/>
          <w:b/>
          <w:color w:val="auto"/>
          <w:sz w:val="24"/>
        </w:rPr>
      </w:pPr>
      <w:bookmarkStart w:id="25" w:name="_Toc3249"/>
    </w:p>
    <w:p w14:paraId="20FC5D1D">
      <w:pPr>
        <w:widowControl/>
        <w:spacing w:line="400" w:lineRule="exact"/>
        <w:outlineLvl w:val="1"/>
        <w:rPr>
          <w:rFonts w:hint="eastAsia" w:ascii="宋体" w:hAnsi="宋体" w:cs="宋体"/>
          <w:b/>
          <w:color w:val="auto"/>
          <w:sz w:val="24"/>
        </w:rPr>
      </w:pPr>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2E60547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1C8E236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240D18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476C4E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654"/>
      <w:bookmarkStart w:id="32" w:name="_Toc18799"/>
      <w:bookmarkStart w:id="33" w:name="_Toc280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检验科试剂</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检验科试剂</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检验科试剂</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检验科试剂</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7"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7"/>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023-63693371</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9714"/>
      <w:bookmarkStart w:id="43" w:name="_Toc25272"/>
      <w:bookmarkStart w:id="44" w:name="_Toc14224"/>
      <w:bookmarkStart w:id="45" w:name="_Toc4033"/>
      <w:bookmarkStart w:id="46" w:name="_Toc76373872"/>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1474"/>
      <w:bookmarkStart w:id="51" w:name="_Toc2599"/>
      <w:bookmarkStart w:id="52" w:name="_Toc76373874"/>
      <w:bookmarkStart w:id="53" w:name="_Toc13391"/>
      <w:bookmarkStart w:id="54" w:name="_Toc3153"/>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29620"/>
      <w:bookmarkStart w:id="59" w:name="_Toc76373876"/>
      <w:bookmarkStart w:id="60" w:name="_Toc30465"/>
      <w:bookmarkStart w:id="61" w:name="_Toc6355"/>
      <w:bookmarkStart w:id="62" w:name="_Toc1955"/>
      <w:bookmarkStart w:id="63"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8BA319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kern w:val="2"/>
          <w:sz w:val="24"/>
          <w:szCs w:val="24"/>
          <w:lang w:val="en-US" w:eastAsia="zh-CN" w:bidi="ar-SA"/>
        </w:rPr>
        <w:t>功能</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用于检测人鼻咽拭子样本中的甲型流感病毒和乙型流感病毒核酸</w:t>
      </w:r>
      <w:r>
        <w:rPr>
          <w:rFonts w:hint="eastAsia" w:ascii="Times New Roman" w:hAnsi="Times New Roman" w:cs="Times New Roman"/>
          <w:b w:val="0"/>
          <w:bCs w:val="0"/>
          <w:color w:val="auto"/>
          <w:kern w:val="2"/>
          <w:sz w:val="24"/>
          <w:szCs w:val="24"/>
          <w:lang w:val="en-US" w:eastAsia="zh-CN" w:bidi="ar-SA"/>
        </w:rPr>
        <w:t>；</w:t>
      </w:r>
    </w:p>
    <w:p w14:paraId="4699C16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检测原理为荧光定量PCR</w:t>
      </w:r>
      <w:r>
        <w:rPr>
          <w:rFonts w:hint="eastAsia" w:ascii="Times New Roman" w:hAnsi="Times New Roman" w:cs="Times New Roman"/>
          <w:b w:val="0"/>
          <w:bCs w:val="0"/>
          <w:color w:val="auto"/>
          <w:kern w:val="2"/>
          <w:sz w:val="24"/>
          <w:szCs w:val="24"/>
          <w:lang w:val="en-US" w:eastAsia="zh-CN" w:bidi="ar-SA"/>
        </w:rPr>
        <w:t>；</w:t>
      </w:r>
    </w:p>
    <w:p w14:paraId="32BB7CC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上机扩增时间不超过60分钟</w:t>
      </w:r>
      <w:r>
        <w:rPr>
          <w:rFonts w:hint="eastAsia" w:ascii="Times New Roman" w:hAnsi="Times New Roman" w:cs="Times New Roman"/>
          <w:b w:val="0"/>
          <w:bCs w:val="0"/>
          <w:color w:val="auto"/>
          <w:kern w:val="2"/>
          <w:sz w:val="24"/>
          <w:szCs w:val="24"/>
          <w:lang w:val="en-US" w:eastAsia="zh-CN" w:bidi="ar-SA"/>
        </w:rPr>
        <w:t>；</w:t>
      </w:r>
    </w:p>
    <w:p w14:paraId="6DCC6F4A">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w:t>
      </w:r>
      <w:r>
        <w:rPr>
          <w:rFonts w:hint="default" w:ascii="Times New Roman" w:hAnsi="Times New Roman" w:eastAsia="宋体" w:cs="Times New Roman"/>
          <w:b w:val="0"/>
          <w:bCs w:val="0"/>
          <w:color w:val="auto"/>
          <w:kern w:val="2"/>
          <w:sz w:val="24"/>
          <w:szCs w:val="24"/>
          <w:lang w:val="en-US" w:eastAsia="zh-CN" w:bidi="ar-SA"/>
        </w:rPr>
        <w:t>检测灵敏度/检测下限≤500 copies/mL</w:t>
      </w:r>
      <w:r>
        <w:rPr>
          <w:rFonts w:hint="eastAsia" w:ascii="Times New Roman" w:hAnsi="Times New Roman" w:cs="Times New Roman"/>
          <w:b w:val="0"/>
          <w:bCs w:val="0"/>
          <w:color w:val="auto"/>
          <w:kern w:val="2"/>
          <w:sz w:val="24"/>
          <w:szCs w:val="24"/>
          <w:lang w:val="en-US" w:eastAsia="zh-CN" w:bidi="ar-SA"/>
        </w:rPr>
        <w:t>；</w:t>
      </w:r>
    </w:p>
    <w:p w14:paraId="44A3028A">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5、</w:t>
      </w:r>
      <w:r>
        <w:rPr>
          <w:rFonts w:hint="default" w:ascii="Times New Roman" w:hAnsi="Times New Roman" w:eastAsia="宋体" w:cs="Times New Roman"/>
          <w:b w:val="0"/>
          <w:bCs w:val="0"/>
          <w:color w:val="auto"/>
          <w:kern w:val="2"/>
          <w:sz w:val="24"/>
          <w:szCs w:val="24"/>
          <w:lang w:val="en-US" w:eastAsia="zh-CN" w:bidi="ar-SA"/>
        </w:rPr>
        <w:t>有人源性内标</w:t>
      </w:r>
      <w:r>
        <w:rPr>
          <w:rFonts w:hint="eastAsia" w:ascii="Times New Roman" w:hAnsi="Times New Roman" w:cs="Times New Roman"/>
          <w:b w:val="0"/>
          <w:bCs w:val="0"/>
          <w:color w:val="auto"/>
          <w:kern w:val="2"/>
          <w:sz w:val="24"/>
          <w:szCs w:val="24"/>
          <w:lang w:val="en-US" w:eastAsia="zh-CN" w:bidi="ar-SA"/>
        </w:rPr>
        <w:t>；</w:t>
      </w:r>
    </w:p>
    <w:p w14:paraId="60C8415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6、</w:t>
      </w:r>
      <w:r>
        <w:rPr>
          <w:rFonts w:hint="default" w:ascii="Times New Roman" w:hAnsi="Times New Roman" w:eastAsia="宋体" w:cs="Times New Roman"/>
          <w:b w:val="0"/>
          <w:bCs w:val="0"/>
          <w:color w:val="auto"/>
          <w:kern w:val="2"/>
          <w:sz w:val="24"/>
          <w:szCs w:val="24"/>
          <w:lang w:val="en-US" w:eastAsia="zh-CN" w:bidi="ar-SA"/>
        </w:rPr>
        <w:t>单次检测通量不低于48测试</w:t>
      </w:r>
      <w:r>
        <w:rPr>
          <w:rFonts w:hint="eastAsia" w:ascii="Times New Roman" w:hAnsi="Times New Roman" w:cs="Times New Roman"/>
          <w:b w:val="0"/>
          <w:bCs w:val="0"/>
          <w:color w:val="auto"/>
          <w:kern w:val="2"/>
          <w:sz w:val="24"/>
          <w:szCs w:val="24"/>
          <w:lang w:val="en-US" w:eastAsia="zh-CN" w:bidi="ar-SA"/>
        </w:rPr>
        <w:t>；</w:t>
      </w:r>
    </w:p>
    <w:p w14:paraId="732C119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7、</w:t>
      </w:r>
      <w:r>
        <w:rPr>
          <w:rFonts w:hint="default" w:ascii="Times New Roman" w:hAnsi="Times New Roman" w:eastAsia="宋体" w:cs="Times New Roman"/>
          <w:b w:val="0"/>
          <w:bCs w:val="0"/>
          <w:color w:val="auto"/>
          <w:kern w:val="2"/>
          <w:sz w:val="24"/>
          <w:szCs w:val="24"/>
          <w:lang w:val="en-US" w:eastAsia="zh-CN" w:bidi="ar-SA"/>
        </w:rPr>
        <w:t>有效期不低于12个月</w:t>
      </w:r>
      <w:r>
        <w:rPr>
          <w:rFonts w:hint="eastAsia" w:ascii="Times New Roman" w:hAnsi="Times New Roman" w:cs="Times New Roman"/>
          <w:b w:val="0"/>
          <w:bCs w:val="0"/>
          <w:color w:val="auto"/>
          <w:kern w:val="2"/>
          <w:sz w:val="24"/>
          <w:szCs w:val="24"/>
          <w:lang w:val="en-US" w:eastAsia="zh-CN" w:bidi="ar-SA"/>
        </w:rPr>
        <w:t>；</w:t>
      </w:r>
    </w:p>
    <w:p w14:paraId="43062A9D">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8、</w:t>
      </w:r>
      <w:r>
        <w:rPr>
          <w:rFonts w:hint="default" w:ascii="Times New Roman" w:hAnsi="Times New Roman" w:eastAsia="宋体" w:cs="Times New Roman"/>
          <w:b w:val="0"/>
          <w:bCs w:val="0"/>
          <w:color w:val="auto"/>
          <w:kern w:val="2"/>
          <w:sz w:val="24"/>
          <w:szCs w:val="24"/>
          <w:lang w:val="en-US" w:eastAsia="zh-CN" w:bidi="ar-SA"/>
        </w:rPr>
        <w:t>试剂盒为甲型流感病毒+乙型流感病毒核酸检测试剂盒，在同一反应管中检测两种目标病原体。</w:t>
      </w:r>
    </w:p>
    <w:p w14:paraId="12C795C3">
      <w:pPr>
        <w:pStyle w:val="31"/>
        <w:rPr>
          <w:rFonts w:hint="eastAsia"/>
          <w:lang w:val="en-US" w:eastAsia="zh-CN"/>
        </w:rPr>
      </w:pPr>
    </w:p>
    <w:p w14:paraId="14FAA7BB">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48F45C8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kern w:val="2"/>
          <w:sz w:val="24"/>
          <w:szCs w:val="24"/>
          <w:lang w:val="en-US" w:eastAsia="zh-CN" w:bidi="ar-SA"/>
        </w:rPr>
        <w:t>功能</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用于检测人鼻咽拭子样本中的甲型流感病毒</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乙型流感病毒</w:t>
      </w:r>
      <w:r>
        <w:rPr>
          <w:rFonts w:hint="eastAsia" w:ascii="Times New Roman" w:hAnsi="Times New Roman" w:cs="Times New Roman"/>
          <w:b w:val="0"/>
          <w:bCs w:val="0"/>
          <w:color w:val="auto"/>
          <w:kern w:val="2"/>
          <w:sz w:val="24"/>
          <w:szCs w:val="24"/>
          <w:lang w:val="en-US" w:eastAsia="zh-CN" w:bidi="ar-SA"/>
        </w:rPr>
        <w:t>和呼吸道合胞病毒核酸；</w:t>
      </w:r>
    </w:p>
    <w:p w14:paraId="2CABF02C">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检测原理为荧光定量PCR</w:t>
      </w:r>
      <w:r>
        <w:rPr>
          <w:rFonts w:hint="eastAsia" w:ascii="Times New Roman" w:hAnsi="Times New Roman" w:cs="Times New Roman"/>
          <w:b w:val="0"/>
          <w:bCs w:val="0"/>
          <w:color w:val="auto"/>
          <w:kern w:val="2"/>
          <w:sz w:val="24"/>
          <w:szCs w:val="24"/>
          <w:lang w:val="en-US" w:eastAsia="zh-CN" w:bidi="ar-SA"/>
        </w:rPr>
        <w:t>；</w:t>
      </w:r>
    </w:p>
    <w:p w14:paraId="0A26495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上机扩增时间不超过60分钟</w:t>
      </w:r>
      <w:r>
        <w:rPr>
          <w:rFonts w:hint="eastAsia" w:ascii="Times New Roman" w:hAnsi="Times New Roman" w:cs="Times New Roman"/>
          <w:b w:val="0"/>
          <w:bCs w:val="0"/>
          <w:color w:val="auto"/>
          <w:kern w:val="2"/>
          <w:sz w:val="24"/>
          <w:szCs w:val="24"/>
          <w:lang w:val="en-US" w:eastAsia="zh-CN" w:bidi="ar-SA"/>
        </w:rPr>
        <w:t>；</w:t>
      </w:r>
    </w:p>
    <w:p w14:paraId="29AC2F67">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w:t>
      </w:r>
      <w:r>
        <w:rPr>
          <w:rFonts w:hint="default" w:ascii="Times New Roman" w:hAnsi="Times New Roman" w:eastAsia="宋体" w:cs="Times New Roman"/>
          <w:b w:val="0"/>
          <w:bCs w:val="0"/>
          <w:color w:val="auto"/>
          <w:kern w:val="2"/>
          <w:sz w:val="24"/>
          <w:szCs w:val="24"/>
          <w:lang w:val="en-US" w:eastAsia="zh-CN" w:bidi="ar-SA"/>
        </w:rPr>
        <w:t>检测灵敏度/检测下限≤500 copies/mL</w:t>
      </w:r>
      <w:r>
        <w:rPr>
          <w:rFonts w:hint="eastAsia" w:ascii="Times New Roman" w:hAnsi="Times New Roman" w:cs="Times New Roman"/>
          <w:b w:val="0"/>
          <w:bCs w:val="0"/>
          <w:color w:val="auto"/>
          <w:kern w:val="2"/>
          <w:sz w:val="24"/>
          <w:szCs w:val="24"/>
          <w:lang w:val="en-US" w:eastAsia="zh-CN" w:bidi="ar-SA"/>
        </w:rPr>
        <w:t>；</w:t>
      </w:r>
    </w:p>
    <w:p w14:paraId="557DBC9D">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5、</w:t>
      </w:r>
      <w:r>
        <w:rPr>
          <w:rFonts w:hint="default" w:ascii="Times New Roman" w:hAnsi="Times New Roman" w:eastAsia="宋体" w:cs="Times New Roman"/>
          <w:b w:val="0"/>
          <w:bCs w:val="0"/>
          <w:color w:val="auto"/>
          <w:kern w:val="2"/>
          <w:sz w:val="24"/>
          <w:szCs w:val="24"/>
          <w:lang w:val="en-US" w:eastAsia="zh-CN" w:bidi="ar-SA"/>
        </w:rPr>
        <w:t>有人源性内标</w:t>
      </w:r>
      <w:r>
        <w:rPr>
          <w:rFonts w:hint="eastAsia" w:ascii="Times New Roman" w:hAnsi="Times New Roman" w:cs="Times New Roman"/>
          <w:b w:val="0"/>
          <w:bCs w:val="0"/>
          <w:color w:val="auto"/>
          <w:kern w:val="2"/>
          <w:sz w:val="24"/>
          <w:szCs w:val="24"/>
          <w:lang w:val="en-US" w:eastAsia="zh-CN" w:bidi="ar-SA"/>
        </w:rPr>
        <w:t>；</w:t>
      </w:r>
    </w:p>
    <w:p w14:paraId="42FC3540">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6、</w:t>
      </w:r>
      <w:r>
        <w:rPr>
          <w:rFonts w:hint="default" w:ascii="Times New Roman" w:hAnsi="Times New Roman" w:eastAsia="宋体" w:cs="Times New Roman"/>
          <w:b w:val="0"/>
          <w:bCs w:val="0"/>
          <w:color w:val="auto"/>
          <w:kern w:val="2"/>
          <w:sz w:val="24"/>
          <w:szCs w:val="24"/>
          <w:lang w:val="en-US" w:eastAsia="zh-CN" w:bidi="ar-SA"/>
        </w:rPr>
        <w:t>单次检测通量不低于48测试</w:t>
      </w:r>
      <w:r>
        <w:rPr>
          <w:rFonts w:hint="eastAsia" w:ascii="Times New Roman" w:hAnsi="Times New Roman" w:cs="Times New Roman"/>
          <w:b w:val="0"/>
          <w:bCs w:val="0"/>
          <w:color w:val="auto"/>
          <w:kern w:val="2"/>
          <w:sz w:val="24"/>
          <w:szCs w:val="24"/>
          <w:lang w:val="en-US" w:eastAsia="zh-CN" w:bidi="ar-SA"/>
        </w:rPr>
        <w:t>；</w:t>
      </w:r>
    </w:p>
    <w:p w14:paraId="5E0AAC85">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7、</w:t>
      </w:r>
      <w:r>
        <w:rPr>
          <w:rFonts w:hint="default" w:ascii="Times New Roman" w:hAnsi="Times New Roman" w:eastAsia="宋体" w:cs="Times New Roman"/>
          <w:b w:val="0"/>
          <w:bCs w:val="0"/>
          <w:color w:val="auto"/>
          <w:kern w:val="2"/>
          <w:sz w:val="24"/>
          <w:szCs w:val="24"/>
          <w:lang w:val="en-US" w:eastAsia="zh-CN" w:bidi="ar-SA"/>
        </w:rPr>
        <w:t>有效期不低于12个月</w:t>
      </w:r>
      <w:r>
        <w:rPr>
          <w:rFonts w:hint="eastAsia" w:ascii="Times New Roman" w:hAnsi="Times New Roman" w:cs="Times New Roman"/>
          <w:b w:val="0"/>
          <w:bCs w:val="0"/>
          <w:color w:val="auto"/>
          <w:kern w:val="2"/>
          <w:sz w:val="24"/>
          <w:szCs w:val="24"/>
          <w:lang w:val="en-US" w:eastAsia="zh-CN" w:bidi="ar-SA"/>
        </w:rPr>
        <w:t>；</w:t>
      </w:r>
    </w:p>
    <w:p w14:paraId="1A122BE3">
      <w:pPr>
        <w:pStyle w:val="2"/>
        <w:ind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8、</w:t>
      </w:r>
      <w:r>
        <w:rPr>
          <w:rFonts w:hint="default" w:ascii="Times New Roman" w:hAnsi="Times New Roman" w:eastAsia="宋体" w:cs="Times New Roman"/>
          <w:b w:val="0"/>
          <w:bCs w:val="0"/>
          <w:color w:val="auto"/>
          <w:kern w:val="2"/>
          <w:sz w:val="24"/>
          <w:szCs w:val="24"/>
          <w:lang w:val="en-US" w:eastAsia="zh-CN" w:bidi="ar-SA"/>
        </w:rPr>
        <w:t>试剂盒为甲型流感病毒+乙型流感病毒</w:t>
      </w:r>
      <w:r>
        <w:rPr>
          <w:rFonts w:hint="eastAsia" w:ascii="Times New Roman" w:hAnsi="Times New Roman" w:eastAsia="宋体" w:cs="Times New Roman"/>
          <w:b w:val="0"/>
          <w:bCs w:val="0"/>
          <w:color w:val="auto"/>
          <w:kern w:val="2"/>
          <w:sz w:val="24"/>
          <w:szCs w:val="24"/>
          <w:lang w:val="en-US" w:eastAsia="zh-CN" w:bidi="ar-SA"/>
        </w:rPr>
        <w:t>+呼吸道合胞病毒</w:t>
      </w:r>
      <w:r>
        <w:rPr>
          <w:rFonts w:hint="default" w:ascii="Times New Roman" w:hAnsi="Times New Roman" w:eastAsia="宋体" w:cs="Times New Roman"/>
          <w:b w:val="0"/>
          <w:bCs w:val="0"/>
          <w:color w:val="auto"/>
          <w:kern w:val="2"/>
          <w:sz w:val="24"/>
          <w:szCs w:val="24"/>
          <w:lang w:val="en-US" w:eastAsia="zh-CN" w:bidi="ar-SA"/>
        </w:rPr>
        <w:t>核酸</w:t>
      </w:r>
      <w:r>
        <w:rPr>
          <w:rFonts w:hint="eastAsia" w:ascii="Times New Roman" w:hAnsi="Times New Roman" w:eastAsia="宋体" w:cs="Times New Roman"/>
          <w:b w:val="0"/>
          <w:bCs w:val="0"/>
          <w:color w:val="auto"/>
          <w:kern w:val="2"/>
          <w:sz w:val="24"/>
          <w:szCs w:val="24"/>
          <w:lang w:val="en-US" w:eastAsia="zh-CN" w:bidi="ar-SA"/>
        </w:rPr>
        <w:t>三联</w:t>
      </w:r>
      <w:r>
        <w:rPr>
          <w:rFonts w:hint="default" w:ascii="Times New Roman" w:hAnsi="Times New Roman" w:eastAsia="宋体" w:cs="Times New Roman"/>
          <w:b w:val="0"/>
          <w:bCs w:val="0"/>
          <w:color w:val="auto"/>
          <w:kern w:val="2"/>
          <w:sz w:val="24"/>
          <w:szCs w:val="24"/>
          <w:lang w:val="en-US" w:eastAsia="zh-CN" w:bidi="ar-SA"/>
        </w:rPr>
        <w:t>检试剂盒，在同一反应管中检测</w:t>
      </w:r>
      <w:r>
        <w:rPr>
          <w:rFonts w:hint="eastAsia" w:ascii="Times New Roman" w:hAnsi="Times New Roman" w:eastAsia="宋体" w:cs="Times New Roman"/>
          <w:b w:val="0"/>
          <w:bCs w:val="0"/>
          <w:color w:val="auto"/>
          <w:kern w:val="2"/>
          <w:sz w:val="24"/>
          <w:szCs w:val="24"/>
          <w:lang w:val="en-US" w:eastAsia="zh-CN" w:bidi="ar-SA"/>
        </w:rPr>
        <w:t>三</w:t>
      </w:r>
      <w:r>
        <w:rPr>
          <w:rFonts w:hint="default" w:ascii="Times New Roman" w:hAnsi="Times New Roman" w:eastAsia="宋体" w:cs="Times New Roman"/>
          <w:b w:val="0"/>
          <w:bCs w:val="0"/>
          <w:color w:val="auto"/>
          <w:kern w:val="2"/>
          <w:sz w:val="24"/>
          <w:szCs w:val="24"/>
          <w:lang w:val="en-US" w:eastAsia="zh-CN" w:bidi="ar-SA"/>
        </w:rPr>
        <w:t>种目标病原体。</w:t>
      </w:r>
    </w:p>
    <w:p w14:paraId="213D5D84">
      <w:pPr>
        <w:spacing w:line="320" w:lineRule="exact"/>
        <w:ind w:left="479" w:leftChars="85" w:hanging="241" w:hangingChars="100"/>
        <w:jc w:val="left"/>
        <w:rPr>
          <w:rFonts w:hint="eastAsia" w:ascii="宋体" w:hAnsi="宋体" w:eastAsia="宋体" w:cs="宋体"/>
          <w:b/>
          <w:bCs/>
          <w:color w:val="auto"/>
          <w:sz w:val="24"/>
          <w:szCs w:val="24"/>
          <w:lang w:val="en-US" w:eastAsia="zh-CN"/>
        </w:rPr>
      </w:pPr>
    </w:p>
    <w:p w14:paraId="459DCF2D">
      <w:pPr>
        <w:spacing w:line="320" w:lineRule="exact"/>
        <w:ind w:left="479" w:leftChars="85" w:hanging="241" w:hangingChars="100"/>
        <w:jc w:val="left"/>
        <w:rPr>
          <w:rFonts w:hint="default" w:ascii="Times New Roman" w:hAnsi="Times New Roman" w:eastAsia="宋体" w:cs="Times New Roman"/>
          <w:b w:val="0"/>
          <w:bCs w:val="0"/>
          <w:color w:val="auto"/>
          <w:kern w:val="2"/>
          <w:sz w:val="24"/>
          <w:szCs w:val="24"/>
          <w:lang w:val="en-US" w:eastAsia="zh-CN" w:bidi="ar-SA"/>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32592B88">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1、用途：用于体外定量检测人血液样本中肌钙蛋白I、CK-MB、</w:t>
      </w:r>
      <w:r>
        <w:rPr>
          <w:rFonts w:hint="default" w:ascii="Times New Roman" w:hAnsi="Times New Roman" w:cs="Times New Roman"/>
          <w:b w:val="0"/>
          <w:bCs w:val="0"/>
          <w:color w:val="auto"/>
          <w:sz w:val="24"/>
          <w:szCs w:val="24"/>
          <w:lang w:val="en-US" w:eastAsia="zh-CN"/>
        </w:rPr>
        <w:t>肌红蛋白的含量。主要针对急诊标本的快速检测，不用于常规样本检测</w:t>
      </w:r>
      <w:r>
        <w:rPr>
          <w:rFonts w:hint="eastAsia" w:ascii="Times New Roman" w:hAnsi="Times New Roman" w:cs="Times New Roman"/>
          <w:b w:val="0"/>
          <w:bCs w:val="0"/>
          <w:color w:val="auto"/>
          <w:sz w:val="24"/>
          <w:szCs w:val="24"/>
          <w:lang w:val="en-US" w:eastAsia="zh-CN"/>
        </w:rPr>
        <w:t>；</w:t>
      </w:r>
    </w:p>
    <w:p w14:paraId="73FA9BA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试剂盒及配套设备支持样本类型</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抗凝全血、微量末梢全血</w:t>
      </w:r>
      <w:r>
        <w:rPr>
          <w:rFonts w:hint="eastAsia" w:ascii="Times New Roman" w:hAnsi="Times New Roman" w:cs="Times New Roman"/>
          <w:b w:val="0"/>
          <w:bCs w:val="0"/>
          <w:color w:val="auto"/>
          <w:sz w:val="24"/>
          <w:szCs w:val="24"/>
          <w:lang w:val="en-US" w:eastAsia="zh-CN"/>
        </w:rPr>
        <w:t>；</w:t>
      </w:r>
    </w:p>
    <w:p w14:paraId="593D2F87">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检测样本用量</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单项用血量不超过60ul，三项合计用血量不超过150 ul</w:t>
      </w:r>
      <w:r>
        <w:rPr>
          <w:rFonts w:hint="eastAsia" w:ascii="Times New Roman" w:hAnsi="Times New Roman" w:cs="Times New Roman"/>
          <w:b w:val="0"/>
          <w:bCs w:val="0"/>
          <w:color w:val="auto"/>
          <w:sz w:val="24"/>
          <w:szCs w:val="24"/>
          <w:lang w:val="en-US" w:eastAsia="zh-CN"/>
        </w:rPr>
        <w:t>；</w:t>
      </w:r>
    </w:p>
    <w:p w14:paraId="45EFB15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提供配套检测设备2台。设备可原管上样，能全自动化检测</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支持信息双通</w:t>
      </w:r>
      <w:r>
        <w:rPr>
          <w:rFonts w:hint="eastAsia" w:ascii="Times New Roman" w:hAnsi="Times New Roman" w:cs="Times New Roman"/>
          <w:b w:val="0"/>
          <w:bCs w:val="0"/>
          <w:color w:val="auto"/>
          <w:sz w:val="24"/>
          <w:szCs w:val="24"/>
          <w:lang w:val="en-US" w:eastAsia="zh-CN"/>
        </w:rPr>
        <w:t>；</w:t>
      </w:r>
    </w:p>
    <w:p w14:paraId="634E084D">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配套设备支持样本随到随检。样本无需离心可直接上机检测，以减少检测时间</w:t>
      </w:r>
      <w:r>
        <w:rPr>
          <w:rFonts w:hint="eastAsia" w:ascii="Times New Roman" w:hAnsi="Times New Roman" w:cs="Times New Roman"/>
          <w:b w:val="0"/>
          <w:bCs w:val="0"/>
          <w:color w:val="auto"/>
          <w:sz w:val="24"/>
          <w:szCs w:val="24"/>
          <w:lang w:val="en-US" w:eastAsia="zh-CN"/>
        </w:rPr>
        <w:t>；</w:t>
      </w:r>
    </w:p>
    <w:p w14:paraId="06AA4AE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lang w:val="en-US" w:eastAsia="zh-CN"/>
        </w:rPr>
        <w:t>首份样本cTnI检测时间不超过12分钟</w:t>
      </w:r>
      <w:r>
        <w:rPr>
          <w:rFonts w:hint="eastAsia" w:ascii="Times New Roman" w:hAnsi="Times New Roman" w:cs="Times New Roman"/>
          <w:b w:val="0"/>
          <w:bCs w:val="0"/>
          <w:color w:val="auto"/>
          <w:sz w:val="24"/>
          <w:szCs w:val="24"/>
          <w:lang w:val="en-US" w:eastAsia="zh-CN"/>
        </w:rPr>
        <w:t>；</w:t>
      </w:r>
    </w:p>
    <w:p w14:paraId="08B005A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w:t>
      </w:r>
      <w:r>
        <w:rPr>
          <w:rFonts w:hint="default" w:ascii="Times New Roman" w:hAnsi="Times New Roman" w:cs="Times New Roman"/>
          <w:b w:val="0"/>
          <w:bCs w:val="0"/>
          <w:color w:val="auto"/>
          <w:sz w:val="24"/>
          <w:szCs w:val="24"/>
          <w:lang w:val="en-US" w:eastAsia="zh-CN"/>
        </w:rPr>
        <w:t>抗干扰能力</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在血红蛋白浓度不高于500mg/dL，甘油三酯的浓度不高于1000mg/dL，胆红素浓度不高于20mg/dL范围内，检测结果偏差≤10%，不影响临床判断</w:t>
      </w:r>
      <w:r>
        <w:rPr>
          <w:rFonts w:hint="eastAsia" w:ascii="Times New Roman" w:hAnsi="Times New Roman" w:cs="Times New Roman"/>
          <w:b w:val="0"/>
          <w:bCs w:val="0"/>
          <w:color w:val="auto"/>
          <w:sz w:val="24"/>
          <w:szCs w:val="24"/>
          <w:lang w:val="en-US" w:eastAsia="zh-CN"/>
        </w:rPr>
        <w:t>；</w:t>
      </w:r>
    </w:p>
    <w:p w14:paraId="68A128D8">
      <w:pPr>
        <w:pStyle w:val="31"/>
        <w:rPr>
          <w:rFonts w:hint="default"/>
          <w:lang w:val="en-US" w:eastAsia="zh-CN"/>
        </w:rPr>
      </w:pPr>
      <w:r>
        <w:rPr>
          <w:rFonts w:hint="eastAsia" w:ascii="Times New Roman" w:hAnsi="Times New Roman" w:cs="Times New Roman"/>
          <w:b w:val="0"/>
          <w:bCs w:val="0"/>
          <w:color w:val="auto"/>
          <w:sz w:val="24"/>
          <w:szCs w:val="24"/>
          <w:lang w:val="en-US" w:eastAsia="zh-CN"/>
        </w:rPr>
        <w:t xml:space="preserve">    8、cTnI线性范围的高限不低于40 ng/mL；</w:t>
      </w:r>
    </w:p>
    <w:p w14:paraId="436BDF7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w:t>
      </w:r>
      <w:r>
        <w:rPr>
          <w:rFonts w:hint="default" w:ascii="Times New Roman" w:hAnsi="Times New Roman" w:cs="Times New Roman"/>
          <w:b w:val="0"/>
          <w:bCs w:val="0"/>
          <w:color w:val="auto"/>
          <w:sz w:val="24"/>
          <w:szCs w:val="24"/>
          <w:lang w:val="en-US" w:eastAsia="zh-CN"/>
        </w:rPr>
        <w:t>试剂盒须配备厂家原厂质控品和校准品(试剂注册证需包含校准品及质控品信息)，两点定标，节约使用成本</w:t>
      </w:r>
      <w:r>
        <w:rPr>
          <w:rFonts w:hint="eastAsia" w:ascii="Times New Roman" w:hAnsi="Times New Roman" w:cs="Times New Roman"/>
          <w:b w:val="0"/>
          <w:bCs w:val="0"/>
          <w:color w:val="auto"/>
          <w:sz w:val="24"/>
          <w:szCs w:val="24"/>
          <w:lang w:val="en-US" w:eastAsia="zh-CN"/>
        </w:rPr>
        <w:t>；</w:t>
      </w:r>
    </w:p>
    <w:p w14:paraId="108BCB5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心肌三项(cTnI、CK-MB、MYO)在2025年国家卫健委室间质评中，该品牌试剂盒参与实验室数量不少于100家</w:t>
      </w:r>
      <w:r>
        <w:rPr>
          <w:rFonts w:hint="eastAsia" w:ascii="Times New Roman" w:hAnsi="Times New Roman" w:cs="Times New Roman"/>
          <w:b w:val="0"/>
          <w:bCs w:val="0"/>
          <w:color w:val="auto"/>
          <w:sz w:val="24"/>
          <w:szCs w:val="24"/>
          <w:lang w:val="en-US" w:eastAsia="zh-CN"/>
        </w:rPr>
        <w:t>；</w:t>
      </w:r>
    </w:p>
    <w:p w14:paraId="52302045">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11</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试剂盒组成</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肌钙蛋白I检测试剂盒、肌钙蛋白三联检试剂盒(包含肌钙蛋白I、CK-MB、肌红蛋白)。</w:t>
      </w:r>
    </w:p>
    <w:p w14:paraId="3E7BAF1E">
      <w:pPr>
        <w:pStyle w:val="31"/>
        <w:rPr>
          <w:rFonts w:hint="default" w:ascii="Times New Roman" w:hAnsi="Times New Roman" w:cs="Times New Roman"/>
          <w:b w:val="0"/>
          <w:bCs w:val="0"/>
          <w:color w:val="auto"/>
          <w:sz w:val="24"/>
          <w:szCs w:val="24"/>
          <w:lang w:val="en-US" w:eastAsia="zh-CN"/>
        </w:rPr>
      </w:pPr>
    </w:p>
    <w:p w14:paraId="09240843">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275A5A92">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用于体外定性检测人痰液中临床常见下呼吸道病原菌，至少包括肺炎克雷伯杆菌、肺炎链球菌及金黄色葡萄球菌等。</w:t>
      </w:r>
    </w:p>
    <w:p w14:paraId="7B58AF15">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采用荧光定量PCR法</w:t>
      </w:r>
    </w:p>
    <w:p w14:paraId="7A6E0A26">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试剂盒置于-20士5°C保存，有效期不低于10个月。</w:t>
      </w:r>
    </w:p>
    <w:p w14:paraId="7A8B0AB1">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标本类型为下呼吸道标本、痰液。</w:t>
      </w:r>
    </w:p>
    <w:p w14:paraId="5ED305AF">
      <w:pPr>
        <w:pStyle w:val="31"/>
        <w:rPr>
          <w:rFonts w:hint="default" w:ascii="Times New Roman" w:hAnsi="Times New Roman" w:cs="Times New Roman"/>
          <w:b w:val="0"/>
          <w:bCs w:val="0"/>
          <w:color w:val="auto"/>
          <w:sz w:val="24"/>
          <w:szCs w:val="24"/>
          <w:lang w:val="en-US" w:eastAsia="zh-CN"/>
        </w:rPr>
      </w:pPr>
    </w:p>
    <w:p w14:paraId="02BF3E2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6C209DE8">
      <w:pPr>
        <w:pStyle w:val="31"/>
        <w:ind w:firstLine="240" w:firstLineChars="1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(一)低位八联PCR管技术参数</w:t>
      </w:r>
    </w:p>
    <w:p w14:paraId="0505D309">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、八联管，聚丙烯材质，管不高于15.48mm,管加盖不高于18.3，可放入96孔管架，适配PCR仪等通用设备;</w:t>
      </w:r>
    </w:p>
    <w:p w14:paraId="4ACC9414">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2、低位设计，5-125</w:t>
      </w:r>
      <w:r>
        <w:rPr>
          <w:rFonts w:hint="eastAsia" w:ascii="Times New Roman" w:hAnsi="Times New Roman" w:cs="Times New Roman"/>
          <w:b w:val="0"/>
          <w:bCs w:val="0"/>
          <w:color w:val="auto"/>
          <w:sz w:val="24"/>
          <w:szCs w:val="24"/>
          <w:lang w:val="en-US" w:eastAsia="zh-CN"/>
        </w:rPr>
        <w:t>μ</w:t>
      </w:r>
      <w:r>
        <w:rPr>
          <w:rFonts w:hint="default" w:ascii="Times New Roman" w:hAnsi="Times New Roman" w:cs="Times New Roman"/>
          <w:b w:val="0"/>
          <w:bCs w:val="0"/>
          <w:color w:val="auto"/>
          <w:sz w:val="24"/>
          <w:szCs w:val="24"/>
          <w:lang w:val="en-US" w:eastAsia="zh-CN"/>
        </w:rPr>
        <w:t>L(最大可达200</w:t>
      </w:r>
      <w:r>
        <w:rPr>
          <w:rFonts w:hint="eastAsia" w:ascii="Times New Roman" w:hAnsi="Times New Roman" w:cs="Times New Roman"/>
          <w:b w:val="0"/>
          <w:bCs w:val="0"/>
          <w:color w:val="auto"/>
          <w:sz w:val="24"/>
          <w:szCs w:val="24"/>
          <w:lang w:val="en-US" w:eastAsia="zh-CN"/>
        </w:rPr>
        <w:t>μ</w:t>
      </w:r>
      <w:r>
        <w:rPr>
          <w:rFonts w:hint="default" w:ascii="Times New Roman" w:hAnsi="Times New Roman" w:cs="Times New Roman"/>
          <w:b w:val="0"/>
          <w:bCs w:val="0"/>
          <w:color w:val="auto"/>
          <w:sz w:val="24"/>
          <w:szCs w:val="24"/>
          <w:lang w:val="en-US" w:eastAsia="zh-CN"/>
        </w:rPr>
        <w:t>L)，适配多个品牌(宏石、伯乐CFX96、乐普、天隆)常规PCR及荧光定量PCR的反应体系需求。</w:t>
      </w:r>
    </w:p>
    <w:p w14:paraId="123BB32A">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包装</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8个/条，开封即用，无DNA酶、无RNA酶、无人类基因组DNA。</w:t>
      </w:r>
    </w:p>
    <w:p w14:paraId="73385900">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耐受温度:-40°C-120°C满足PCR实验中变性、退火等高温与低温储存需求。</w:t>
      </w:r>
    </w:p>
    <w:p w14:paraId="245792F6">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透光率</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≥90%(透明款)，适配荧光检测。</w:t>
      </w:r>
    </w:p>
    <w:p w14:paraId="30459E0F">
      <w:pPr>
        <w:pStyle w:val="31"/>
        <w:ind w:firstLine="240" w:firstLineChars="1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(二)平顶光学八联PCR管盖技术参数</w:t>
      </w:r>
    </w:p>
    <w:p w14:paraId="61D232E5">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与以上八连管精确匹配，管加管盖高度不高于18.3mm，且密封性非常好。</w:t>
      </w:r>
    </w:p>
    <w:p w14:paraId="66C58253">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高透光性，适用于荧光定量PCR检测。</w:t>
      </w:r>
    </w:p>
    <w:p w14:paraId="68393FCD">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八联管设计，8个/条。</w:t>
      </w:r>
    </w:p>
    <w:p w14:paraId="3484723B">
      <w:pPr>
        <w:pStyle w:val="31"/>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开封即用、无DNA酶、无RNA酶、无人类基因组DNA。</w:t>
      </w:r>
    </w:p>
    <w:p w14:paraId="76E3826D">
      <w:pPr>
        <w:pStyle w:val="31"/>
        <w:ind w:firstLine="480" w:firstLineChars="200"/>
        <w:rPr>
          <w:rFonts w:hint="default" w:ascii="Times New Roman" w:hAnsi="Times New Roman" w:cs="Times New Roman"/>
          <w:b w:val="0"/>
          <w:bCs w:val="0"/>
          <w:color w:val="auto"/>
          <w:sz w:val="24"/>
          <w:szCs w:val="24"/>
          <w:lang w:val="en-US" w:eastAsia="zh-CN"/>
        </w:rPr>
      </w:pPr>
    </w:p>
    <w:p w14:paraId="360798C9">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6</w:t>
      </w:r>
    </w:p>
    <w:p w14:paraId="4CD0AF89">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功能:用于尿液常规检测。参数:</w:t>
      </w:r>
    </w:p>
    <w:p w14:paraId="36476FC7">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1.设备测试速度:尿液干化学分析模块单机测试速度不低于240T/h，尿液</w:t>
      </w:r>
    </w:p>
    <w:p w14:paraId="1E4B98BC">
      <w:pPr>
        <w:pStyle w:val="31"/>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有形成分分析模块单机测试速度不低于100T/h。</w:t>
      </w:r>
    </w:p>
    <w:p w14:paraId="6744D8A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2.尿液干化学仪与尿沉渣仪采用模块机的形式，按实验室标本量、布局任意合成多模块组合。</w:t>
      </w:r>
    </w:p>
    <w:p w14:paraId="53EB9FC1">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3.可根据医嘱实现2种类型干化学试纸条自动选择并检测。</w:t>
      </w:r>
    </w:p>
    <w:p w14:paraId="3D614191">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4.可提供尿干化学、尿有形成分RBC及WBC等项目多水平室内质控品。</w:t>
      </w:r>
    </w:p>
    <w:p w14:paraId="72A45100">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5.尿有形成分重复性:低中浓度(50/个/uL)CV≤25%;高浓度(200/个/uL)≤15%。仪器开机8小时内，细胞计数结果的CV≤15%。</w:t>
      </w:r>
    </w:p>
    <w:p w14:paraId="35DB849C">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6.有形成分识别率:红细胞≥70%，白细胞≥80%，管型≥50%;有形成分假阴性率≤3%;有形成分携带污染率:≤0.05%</w:t>
      </w:r>
    </w:p>
    <w:p w14:paraId="67E6B2D3">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7.尿液有形成分分析仪检测原理:采用流式细胞技术</w:t>
      </w:r>
    </w:p>
    <w:p w14:paraId="4FE327D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8.设备支持与LIS系统双向通讯。具备样本条码自动识别功能，支持360°条码扫描，无需手动调整尿管条形码朝向。</w:t>
      </w:r>
    </w:p>
    <w:p w14:paraId="186B7B14">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9.设备支持全自动穿刺吸样，无需人工开盖，避免气溶胶污染</w:t>
      </w:r>
    </w:p>
    <w:p w14:paraId="077207C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10.在国家卫健委临检中心与重庆市临检中心组织的EQA中均有独立分组</w:t>
      </w:r>
    </w:p>
    <w:p w14:paraId="53B7FCC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11.对红细胞形态进行自动分析，提供“均一性、非均一性、混合型”血尿的判断，并对异常血尿提供至少5项红细胞形态自动细分类参数，提供红细胞形态学报告</w:t>
      </w:r>
    </w:p>
    <w:p w14:paraId="547E8A25">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12.提供配套检测设备，至少提供2-3条检测流水线(需根据仪器检测性能、样本量等确定配套设备检测模块数量)</w:t>
      </w:r>
    </w:p>
    <w:p w14:paraId="7148C7C9">
      <w:pPr>
        <w:pStyle w:val="31"/>
        <w:ind w:firstLine="480" w:firstLineChars="200"/>
        <w:rPr>
          <w:rFonts w:hint="default" w:ascii="Times New Roman" w:hAnsi="Times New Roman" w:cs="Times New Roman"/>
          <w:b w:val="0"/>
          <w:bCs w:val="0"/>
          <w:color w:val="auto"/>
          <w:sz w:val="24"/>
          <w:szCs w:val="24"/>
          <w:lang w:val="en-US" w:eastAsia="zh-CN"/>
        </w:rPr>
      </w:pPr>
    </w:p>
    <w:p w14:paraId="21C86F06">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7</w:t>
      </w:r>
    </w:p>
    <w:p w14:paraId="694364FB">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cs="Times New Roman"/>
          <w:b w:val="0"/>
          <w:bCs w:val="0"/>
          <w:color w:val="auto"/>
          <w:sz w:val="24"/>
          <w:szCs w:val="24"/>
          <w:lang w:val="en-US" w:eastAsia="zh-CN"/>
        </w:rPr>
        <w:t>检测设备：需配置检测流水线2条，同时单独为夜班配置一台检测设备，流水线必须包含标本前处理系统和质控品冷藏仓，可实现自动离心、自动开盖、自动加盖、自动质控等功能；</w:t>
      </w:r>
    </w:p>
    <w:p w14:paraId="4407AEB9">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2.流水线上配置的离心机转速能达到3500r/min以上，单次离心通量≥40支，离心机具有自动配平功能，可自定义设置离心转速、时间及温度；</w:t>
      </w:r>
    </w:p>
    <w:p w14:paraId="22C0B56E">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3.检测系统可每日自动完成开机维护、每日自动质控检测；</w:t>
      </w:r>
    </w:p>
    <w:p w14:paraId="0B8DFD2C">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4.单模块设备测试速度不低于200T/h；流水线不低于400T/h；</w:t>
      </w:r>
    </w:p>
    <w:p w14:paraId="38065DCE">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5.单份样本从加样至出具检测报告所用时问不超过40分钟；</w:t>
      </w:r>
    </w:p>
    <w:p w14:paraId="4678AC7A">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6.采用一次性吸样头加样或者钢针加样，须能有效防止样本间交叉污染；</w:t>
      </w:r>
    </w:p>
    <w:p w14:paraId="2E36FB41">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7.设备支持与LIS系统信息双向通讯，具备数据传输校验机制，样本条码自动扫描，识别率≥99%，支持样本管标签正向、反向扫描；</w:t>
      </w:r>
    </w:p>
    <w:p w14:paraId="6397CFB8">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8.抗HIV抗体、HIV p24抗原、抗梅毒特异性抗体检测方法均为化学发光法；</w:t>
      </w:r>
    </w:p>
    <w:p w14:paraId="15792A35">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9.P24抗原检出限≤2.5IU/mL(需提供产品说明书等佐证材料)；</w:t>
      </w:r>
    </w:p>
    <w:p w14:paraId="66970AA5">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10.梅毒抗体检测试剂盒采用两点定标法；</w:t>
      </w:r>
    </w:p>
    <w:p w14:paraId="34238904">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11.试剂检测性能须满足批内CV&lt;10%，批间CV&lt;15%；批内定标有效期不低于28天；</w:t>
      </w:r>
    </w:p>
    <w:p w14:paraId="7CE64AC6">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12.需提供HIV/TP的弱阳性和阴性质控品，弱阳性质控品的浓度为临界值的2~3倍。室内质控品质量需满足《全国艾滋病检测实验室质量控制指南》中对质控品的要求；</w:t>
      </w:r>
    </w:p>
    <w:p w14:paraId="587456D7">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13.抗HIV及梅毒抗体检测试剂在国家卫健委临床检验中心组织的室间质评中，具有品牌独立分组。近2年室间质评中，该品牌试剂独立分组的参与实验室数量均不少于100家(提供佐证材料)；</w:t>
      </w:r>
    </w:p>
    <w:p w14:paraId="713BAF69">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14.全国三甲医院用户数不少于100家，重庆三甲医院用户数不少于5家(提供佐证材料)；</w:t>
      </w:r>
    </w:p>
    <w:p w14:paraId="050D22EF">
      <w:pPr>
        <w:pStyle w:val="31"/>
        <w:ind w:firstLine="480" w:firstLineChars="200"/>
        <w:rPr>
          <w:rFonts w:hint="eastAsia" w:hAnsi="宋体" w:cs="宋体"/>
          <w:b/>
          <w:bCs/>
          <w:color w:val="auto"/>
          <w:sz w:val="24"/>
          <w:szCs w:val="24"/>
          <w:lang w:val="en-US" w:eastAsia="zh-CN"/>
        </w:rPr>
      </w:pPr>
      <w:r>
        <w:rPr>
          <w:rFonts w:hint="default" w:ascii="Times New Roman" w:hAnsi="Times New Roman" w:cs="Times New Roman"/>
          <w:b w:val="0"/>
          <w:bCs w:val="0"/>
          <w:color w:val="auto"/>
          <w:sz w:val="24"/>
          <w:szCs w:val="24"/>
          <w:lang w:val="en-US" w:eastAsia="zh-CN"/>
        </w:rPr>
        <w:t>15.参考《全国艾滋病检测技术规范(2025 年修订版)》，灰区样本与确证试验的验证符合率</w:t>
      </w:r>
      <w:r>
        <w:rPr>
          <w:rFonts w:hint="eastAsia" w:ascii="Times New Roman" w:hAnsi="Times New Roman" w:cs="Times New Roman"/>
          <w:b w:val="0"/>
          <w:bCs w:val="0"/>
          <w:color w:val="auto"/>
          <w:sz w:val="24"/>
          <w:szCs w:val="24"/>
          <w:lang w:val="en-US" w:eastAsia="zh-CN"/>
        </w:rPr>
        <w:t>应≥95%。</w:t>
      </w:r>
    </w:p>
    <w:p w14:paraId="59187FFF">
      <w:pPr>
        <w:pStyle w:val="31"/>
        <w:ind w:firstLine="482" w:firstLineChars="200"/>
        <w:rPr>
          <w:rFonts w:hint="eastAsia" w:ascii="宋体" w:hAnsi="宋体" w:eastAsia="宋体" w:cs="宋体"/>
          <w:b/>
          <w:bCs/>
          <w:color w:val="auto"/>
          <w:sz w:val="24"/>
          <w:szCs w:val="24"/>
          <w:lang w:val="en-US" w:eastAsia="zh-CN"/>
        </w:rPr>
      </w:pPr>
    </w:p>
    <w:p w14:paraId="220C7E8E">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8</w:t>
      </w:r>
    </w:p>
    <w:p w14:paraId="7B4030B3">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sz w:val="24"/>
          <w:szCs w:val="24"/>
          <w:lang w:val="en-US" w:eastAsia="zh-CN"/>
        </w:rPr>
        <w:t>功能</w:t>
      </w:r>
      <w:r>
        <w:rPr>
          <w:rFonts w:hint="default"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用于体外检测人外周血中结核分枝杆菌特异性致敏T细胞分泌的</w:t>
      </w:r>
      <w:r>
        <w:rPr>
          <w:rFonts w:hint="eastAsia" w:ascii="Times New Roman" w:hAnsi="Times New Roman" w:cs="Times New Roman"/>
          <w:b w:val="0"/>
          <w:bCs w:val="0"/>
          <w:color w:val="auto"/>
          <w:sz w:val="24"/>
          <w:szCs w:val="24"/>
          <w:lang w:val="en-US" w:eastAsia="zh-CN"/>
        </w:rPr>
        <w:t>γ</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干</w:t>
      </w:r>
      <w:r>
        <w:rPr>
          <w:rFonts w:hint="default" w:ascii="Times New Roman" w:hAnsi="Times New Roman" w:eastAsia="宋体" w:cs="Times New Roman"/>
          <w:b w:val="0"/>
          <w:bCs w:val="0"/>
          <w:color w:val="auto"/>
          <w:sz w:val="24"/>
          <w:szCs w:val="24"/>
          <w:lang w:val="en-US" w:eastAsia="zh-CN"/>
        </w:rPr>
        <w:t>扰素(IFN-</w:t>
      </w:r>
      <w:r>
        <w:rPr>
          <w:rFonts w:hint="eastAsia" w:ascii="Times New Roman" w:hAnsi="Times New Roman" w:cs="Times New Roman"/>
          <w:b w:val="0"/>
          <w:bCs w:val="0"/>
          <w:color w:val="auto"/>
          <w:sz w:val="24"/>
          <w:szCs w:val="24"/>
          <w:lang w:val="en-US" w:eastAsia="zh-CN"/>
        </w:rPr>
        <w:t>γ</w:t>
      </w:r>
      <w:r>
        <w:rPr>
          <w:rFonts w:hint="default" w:ascii="Times New Roman" w:hAnsi="Times New Roman" w:eastAsia="宋体" w:cs="Times New Roman"/>
          <w:b w:val="0"/>
          <w:bCs w:val="0"/>
          <w:color w:val="auto"/>
          <w:sz w:val="24"/>
          <w:szCs w:val="24"/>
          <w:lang w:val="en-US" w:eastAsia="zh-CN"/>
        </w:rPr>
        <w:t>)，辅助诊断结核分枝杆菌感染</w:t>
      </w:r>
      <w:r>
        <w:rPr>
          <w:rFonts w:hint="default" w:ascii="Times New Roman" w:hAnsi="Times New Roman" w:cs="Times New Roman"/>
          <w:b w:val="0"/>
          <w:bCs w:val="0"/>
          <w:color w:val="auto"/>
          <w:sz w:val="24"/>
          <w:szCs w:val="24"/>
          <w:lang w:val="en-US" w:eastAsia="zh-CN"/>
        </w:rPr>
        <w:t>；</w:t>
      </w:r>
    </w:p>
    <w:p w14:paraId="556544F6">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2.</w:t>
      </w:r>
      <w:r>
        <w:rPr>
          <w:rFonts w:hint="default" w:ascii="Times New Roman" w:hAnsi="Times New Roman" w:cs="Times New Roman"/>
          <w:b w:val="0"/>
          <w:bCs w:val="0"/>
          <w:color w:val="auto"/>
          <w:sz w:val="24"/>
          <w:szCs w:val="24"/>
          <w:lang w:val="en-US" w:eastAsia="zh-CN"/>
        </w:rPr>
        <w:t>检测方法：采用直接化学发光/磁微粒化学发光法检测</w:t>
      </w:r>
      <w:r>
        <w:rPr>
          <w:rFonts w:hint="eastAsia" w:ascii="Times New Roman" w:hAnsi="Times New Roman" w:cs="Times New Roman"/>
          <w:b w:val="0"/>
          <w:bCs w:val="0"/>
          <w:color w:val="auto"/>
          <w:sz w:val="24"/>
          <w:szCs w:val="24"/>
          <w:lang w:val="en-US" w:eastAsia="zh-CN"/>
        </w:rPr>
        <w:t>γ</w:t>
      </w:r>
      <w:r>
        <w:rPr>
          <w:rFonts w:hint="default" w:ascii="Times New Roman" w:hAnsi="Times New Roman" w:cs="Times New Roman"/>
          <w:b w:val="0"/>
          <w:bCs w:val="0"/>
          <w:color w:val="auto"/>
          <w:sz w:val="24"/>
          <w:szCs w:val="24"/>
          <w:lang w:val="en-US" w:eastAsia="zh-CN"/>
        </w:rPr>
        <w:t>-干扰素；</w:t>
      </w:r>
    </w:p>
    <w:p w14:paraId="497C9C0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3.</w:t>
      </w:r>
      <w:r>
        <w:rPr>
          <w:rFonts w:hint="default" w:ascii="Times New Roman" w:hAnsi="Times New Roman" w:cs="Times New Roman"/>
          <w:b w:val="0"/>
          <w:bCs w:val="0"/>
          <w:color w:val="auto"/>
          <w:sz w:val="24"/>
          <w:szCs w:val="24"/>
          <w:lang w:val="en-US" w:eastAsia="zh-CN"/>
        </w:rPr>
        <w:t>提供配套检测设备2台，与试剂盒为同一生产厂家。检测仪器可实现样木全自动双通上机检测，支持自动判读并输出定量结果；</w:t>
      </w:r>
    </w:p>
    <w:p w14:paraId="35E7FCA4">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4.加样系统：采用加样头加样，或者采用钢针加样但需具备防交叉污染设计；</w:t>
      </w:r>
    </w:p>
    <w:p w14:paraId="3FE4E5D0">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5.设备支持与LIS系统信息双向通讯，具备数据传输校验机制，样木条码自动扫描，识别率≥99%，支持样本管标签正向、反向扫描；</w:t>
      </w:r>
    </w:p>
    <w:p w14:paraId="281D882E">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6.性能验证临床样本阴阳性符合率应≥95%；</w:t>
      </w:r>
    </w:p>
    <w:p w14:paraId="54067AAB">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7.质控品：配套原厂质控品，含高低值浓度，覆盖试剂检测线性范围，质控品开瓶后有效期≥7天，常温稳定；</w:t>
      </w:r>
    </w:p>
    <w:p w14:paraId="30972130">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8.校准品：提供原厂校准品，溯源至国际参考物质，校准周期≥28天；</w:t>
      </w:r>
    </w:p>
    <w:p w14:paraId="6A20A07B">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9.试剂有效期：未开瓶试剂有效期≥12个月，试剂开瓶后上机稳定期≥7天；</w:t>
      </w:r>
    </w:p>
    <w:p w14:paraId="16CC7310">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10.在常温条件下，</w:t>
      </w:r>
      <w:r>
        <w:rPr>
          <w:rFonts w:hint="eastAsia" w:ascii="Times New Roman" w:hAnsi="Times New Roman" w:cs="Times New Roman"/>
          <w:b w:val="0"/>
          <w:bCs w:val="0"/>
          <w:color w:val="auto"/>
          <w:sz w:val="24"/>
          <w:szCs w:val="24"/>
          <w:lang w:val="en-US" w:eastAsia="zh-CN"/>
        </w:rPr>
        <w:t>样本</w:t>
      </w:r>
      <w:r>
        <w:rPr>
          <w:rFonts w:hint="default" w:ascii="Times New Roman" w:hAnsi="Times New Roman" w:cs="Times New Roman"/>
          <w:b w:val="0"/>
          <w:bCs w:val="0"/>
          <w:color w:val="auto"/>
          <w:sz w:val="24"/>
          <w:szCs w:val="24"/>
          <w:lang w:val="en-US" w:eastAsia="zh-CN"/>
        </w:rPr>
        <w:t>离体时间大于6小时，检结果不受影响。</w:t>
      </w:r>
    </w:p>
    <w:p w14:paraId="562E276F">
      <w:pPr>
        <w:pStyle w:val="31"/>
        <w:ind w:firstLine="480" w:firstLineChars="200"/>
        <w:rPr>
          <w:rFonts w:hint="default" w:ascii="Times New Roman" w:hAnsi="Times New Roman" w:cs="Times New Roman"/>
          <w:b w:val="0"/>
          <w:bCs w:val="0"/>
          <w:color w:val="auto"/>
          <w:sz w:val="24"/>
          <w:szCs w:val="24"/>
          <w:lang w:val="en-US" w:eastAsia="zh-CN"/>
        </w:rPr>
      </w:pPr>
    </w:p>
    <w:p w14:paraId="0795CC27">
      <w:pPr>
        <w:pStyle w:val="31"/>
        <w:ind w:firstLine="482" w:firstLineChars="200"/>
        <w:rPr>
          <w:rFonts w:hint="default"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9</w:t>
      </w:r>
    </w:p>
    <w:p w14:paraId="53FC464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1.检测原理采用散射比浊法；</w:t>
      </w:r>
    </w:p>
    <w:p w14:paraId="1E1F0DFC">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包含项目：至少包含尿微白蛋白、尿肌酐、尿总蛋白、尿α1MG、尿IGG、尿TRF、尿α2MG、尿β2微球蛋白、尿视黄醇结合蛋白、尿胱抑素、尿NAG、尿轻链KAP、尿轻链LAM、可提供mALB/UCr比自动计算功能。提供上述所有项目检测的试剂盒品牌不得超过2种；</w:t>
      </w:r>
    </w:p>
    <w:p w14:paraId="1AF1D372">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3.重复性：所有项目批内CV&lt;10%，批间CV&lt;15%；</w:t>
      </w:r>
    </w:p>
    <w:p w14:paraId="4E649AC1">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4.样本检测检测速度不低于200T/H；</w:t>
      </w:r>
    </w:p>
    <w:p w14:paraId="3204F88A">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5.检测管可实现自动双通上机检测，设备支持与LIS系统信息双向通讯，具备数据传输校验机制。样本条码自动识别率≥99%，支持样本管标签正向、反向扫描；</w:t>
      </w:r>
    </w:p>
    <w:p w14:paraId="6BA74F9B">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6.提供检测质控品(高低两个水平)，质控范围覆盖临床常见浓度区间，稳定性≥12个月，附带质控品定值报告及测源性说明；</w:t>
      </w:r>
    </w:p>
    <w:p w14:paraId="3E66D6CA">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7.提供小包装规格试剂盒以减少载机试剂过期浪费，如100测试/最小包装单位；</w:t>
      </w:r>
    </w:p>
    <w:p w14:paraId="3F2894CA">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8.试剂有效期不低于12个月，避免试剂过期导致浪费；</w:t>
      </w:r>
    </w:p>
    <w:p w14:paraId="459229F5">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9.试剂盒有较强抗干扰能力，可有效排除尿液中其他成分(如胆红素、葡萄糖、白细胞等)对检测结果的干扰；</w:t>
      </w:r>
    </w:p>
    <w:p w14:paraId="600CCE7B">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10.尿液蛋白标志物I(如uRBP，uIGG，uTRF，α1-MG，β2-MG等)及尿生化项目(如尿微量白蛋白)在2025年国家卫健委室问质评中有该品牌试剂的独立分组；</w:t>
      </w:r>
    </w:p>
    <w:p w14:paraId="5FE6555A">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11.试剂盒检测直接线性范围较宽，以降低高浓度样本稀释复查率和节省成本，如尿微量白蛋白高值线性范围应≥300mg/L，尿α1-MG高值线性范围应≥150mg/L，尿β2-MG高值线性范围应≥5.8mg/L；</w:t>
      </w:r>
    </w:p>
    <w:p w14:paraId="705AA552">
      <w:pPr>
        <w:pStyle w:val="31"/>
        <w:ind w:firstLine="480" w:firstLineChars="200"/>
        <w:rPr>
          <w:rFonts w:hint="default" w:hAnsi="宋体" w:cs="宋体"/>
          <w:b/>
          <w:bCs/>
          <w:color w:val="auto"/>
          <w:sz w:val="24"/>
          <w:szCs w:val="24"/>
          <w:lang w:val="en-US" w:eastAsia="zh-CN"/>
        </w:rPr>
      </w:pPr>
      <w:r>
        <w:rPr>
          <w:rFonts w:hint="default" w:ascii="Times New Roman" w:hAnsi="Times New Roman" w:cs="Times New Roman"/>
          <w:b w:val="0"/>
          <w:bCs w:val="0"/>
          <w:color w:val="auto"/>
          <w:sz w:val="24"/>
          <w:szCs w:val="24"/>
          <w:lang w:val="en-US" w:eastAsia="zh-CN"/>
        </w:rPr>
        <w:t>12.试剂抗原过剩范围应覆盖临床常见高浓度，避免抗原过剩导致的漏检和假性偏低。</w:t>
      </w:r>
    </w:p>
    <w:p w14:paraId="6F488884">
      <w:pPr>
        <w:pStyle w:val="31"/>
        <w:rPr>
          <w:rFonts w:hint="default"/>
          <w:lang w:val="en-US" w:eastAsia="zh-CN"/>
        </w:rPr>
      </w:pPr>
    </w:p>
    <w:p w14:paraId="49F912AF">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10</w:t>
      </w:r>
    </w:p>
    <w:p w14:paraId="5733BFA9">
      <w:pPr>
        <w:pStyle w:val="31"/>
        <w:ind w:firstLine="480" w:firstLineChars="200"/>
        <w:rPr>
          <w:rFonts w:hint="default" w:hAnsi="宋体" w:cs="宋体"/>
          <w:b/>
          <w:bCs/>
          <w:color w:val="auto"/>
          <w:sz w:val="24"/>
          <w:szCs w:val="24"/>
          <w:lang w:val="en-US" w:eastAsia="zh-CN"/>
        </w:rPr>
      </w:pPr>
      <w:r>
        <w:rPr>
          <w:rFonts w:hint="eastAsia" w:hAnsi="宋体" w:cs="宋体"/>
          <w:b w:val="0"/>
          <w:bCs w:val="0"/>
          <w:color w:val="auto"/>
          <w:sz w:val="24"/>
          <w:szCs w:val="24"/>
          <w:lang w:val="en-US" w:eastAsia="zh-CN"/>
        </w:rPr>
        <w:t>用途：用于检测临床样本中的念珠菌核酸。参数：</w:t>
      </w:r>
    </w:p>
    <w:p w14:paraId="06E068C3">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检测原理为荧光定量PCR；</w:t>
      </w:r>
    </w:p>
    <w:p w14:paraId="0EE0C37A">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能鉴定病原包括但不限于白念珠菌、热带念珠菌、光滑念珠菌等；</w:t>
      </w:r>
    </w:p>
    <w:p w14:paraId="4D7A6E51">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结果应鉴定到种；</w:t>
      </w:r>
    </w:p>
    <w:p w14:paraId="3C9B79A2">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试剂盒有效期不少于10个月。</w:t>
      </w:r>
    </w:p>
    <w:p w14:paraId="689A9713">
      <w:pPr>
        <w:pStyle w:val="31"/>
        <w:widowControl w:val="0"/>
        <w:numPr>
          <w:ilvl w:val="0"/>
          <w:numId w:val="0"/>
        </w:numPr>
        <w:adjustRightInd w:val="0"/>
        <w:snapToGrid w:val="0"/>
        <w:spacing w:line="360" w:lineRule="auto"/>
        <w:jc w:val="both"/>
        <w:rPr>
          <w:rFonts w:hint="default" w:hAnsi="宋体" w:cs="宋体"/>
          <w:b w:val="0"/>
          <w:bCs w:val="0"/>
          <w:color w:val="auto"/>
          <w:sz w:val="24"/>
          <w:szCs w:val="24"/>
          <w:lang w:val="en-US" w:eastAsia="zh-CN"/>
        </w:rPr>
      </w:pPr>
    </w:p>
    <w:p w14:paraId="0A6C77ED">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11</w:t>
      </w:r>
    </w:p>
    <w:p w14:paraId="391F9709">
      <w:pPr>
        <w:pStyle w:val="31"/>
        <w:ind w:firstLine="480" w:firstLineChars="200"/>
        <w:rPr>
          <w:rFonts w:hint="default" w:hAnsi="宋体" w:cs="宋体"/>
          <w:b/>
          <w:bCs/>
          <w:color w:val="auto"/>
          <w:sz w:val="24"/>
          <w:szCs w:val="24"/>
          <w:lang w:val="en-US" w:eastAsia="zh-CN"/>
        </w:rPr>
      </w:pPr>
      <w:r>
        <w:rPr>
          <w:rFonts w:hint="eastAsia" w:hAnsi="宋体" w:cs="宋体"/>
          <w:b w:val="0"/>
          <w:bCs w:val="0"/>
          <w:color w:val="auto"/>
          <w:sz w:val="24"/>
          <w:szCs w:val="24"/>
          <w:lang w:val="en-US" w:eastAsia="zh-CN"/>
        </w:rPr>
        <w:t>用途：用于检测临床样本中的曲霉菌核酸。参数：</w:t>
      </w:r>
    </w:p>
    <w:p w14:paraId="728AE847">
      <w:pPr>
        <w:pStyle w:val="31"/>
        <w:numPr>
          <w:ilvl w:val="0"/>
          <w:numId w:val="2"/>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检测原理为荧光定量PCR；</w:t>
      </w:r>
    </w:p>
    <w:p w14:paraId="61A911E7">
      <w:pPr>
        <w:pStyle w:val="31"/>
        <w:numPr>
          <w:ilvl w:val="0"/>
          <w:numId w:val="2"/>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能鉴定病原包括但不限于烟曲霉、黄曲霉、黑曲霉等；</w:t>
      </w:r>
    </w:p>
    <w:p w14:paraId="7F52C3EA">
      <w:pPr>
        <w:pStyle w:val="31"/>
        <w:numPr>
          <w:ilvl w:val="0"/>
          <w:numId w:val="2"/>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结果应鉴定到种；</w:t>
      </w:r>
    </w:p>
    <w:p w14:paraId="1323E6DA">
      <w:pPr>
        <w:pStyle w:val="31"/>
        <w:numPr>
          <w:ilvl w:val="0"/>
          <w:numId w:val="2"/>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试剂盒有效期不少于10个月。</w:t>
      </w:r>
    </w:p>
    <w:p w14:paraId="74E38136">
      <w:pPr>
        <w:pStyle w:val="31"/>
        <w:numPr>
          <w:ilvl w:val="0"/>
          <w:numId w:val="0"/>
        </w:numPr>
        <w:rPr>
          <w:rFonts w:hint="default" w:hAnsi="宋体" w:cs="宋体"/>
          <w:b w:val="0"/>
          <w:bCs w:val="0"/>
          <w:color w:val="auto"/>
          <w:sz w:val="24"/>
          <w:szCs w:val="24"/>
          <w:lang w:val="en-US" w:eastAsia="zh-CN"/>
        </w:rPr>
      </w:pPr>
    </w:p>
    <w:p w14:paraId="690A5FE3">
      <w:pPr>
        <w:pStyle w:val="2"/>
        <w:numPr>
          <w:ilvl w:val="0"/>
          <w:numId w:val="0"/>
        </w:numPr>
        <w:ind w:firstLine="480"/>
        <w:rPr>
          <w:rFonts w:hint="eastAsia" w:hAnsi="宋体" w:cs="宋体"/>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包</w:t>
      </w:r>
      <w:r>
        <w:rPr>
          <w:rFonts w:hint="default" w:ascii="Times New Roman" w:hAnsi="Times New Roman" w:cs="Times New Roman"/>
          <w:b/>
          <w:bCs/>
          <w:color w:val="auto"/>
          <w:sz w:val="24"/>
          <w:szCs w:val="24"/>
          <w:lang w:val="en-US" w:eastAsia="zh-CN"/>
        </w:rPr>
        <w:t>12</w:t>
      </w:r>
    </w:p>
    <w:p w14:paraId="52FC1542">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1.检测方法：荧光免疫法或者化学发光法，不接受酶免疫分析法、胶体金及免疫印迹法； </w:t>
      </w:r>
    </w:p>
    <w:p w14:paraId="081D6DB0">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2.过敏原特异性IgE抗体应明确为定量检测，应含常见吸入/食物过敏原特异性IgE，项目数不少于20项，支持单项检测及自由组合；  </w:t>
      </w:r>
    </w:p>
    <w:p w14:paraId="7D65927C">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3.还需提供总IgE及特异性过敏原组份检测试剂，允许组份检测试剂与特异性IgE抗体检测试剂盒为不同品牌； </w:t>
      </w:r>
    </w:p>
    <w:p w14:paraId="4EFAF7AE">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4.提供具有 NMPA 注册证的配套质控品（可与试剂盒同证或独立注册）；  </w:t>
      </w:r>
    </w:p>
    <w:p w14:paraId="15DDF683">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5.单测试最小样本量不超过40μL；  </w:t>
      </w:r>
    </w:p>
    <w:p w14:paraId="701FB470">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6.总IgE线性范围：2.0-5000.0 IU/mL，特异性IgE线性范围 ：0.1-100.0 IU/mL；  </w:t>
      </w:r>
    </w:p>
    <w:p w14:paraId="106C43EB">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7. 最低检出限：过敏原特异性IgE≤0.10 IU/mL； </w:t>
      </w:r>
    </w:p>
    <w:p w14:paraId="51D42321">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8.试剂批内精密度：CV≤10%；设备重复性：CV≤8%；稳定性：偏倚≤10%；</w:t>
      </w:r>
    </w:p>
    <w:p w14:paraId="63DD53AC">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9.总IgE≥5000 IU/mL、sIgE≥200IU/mL时，无 HOOK 效应；  </w:t>
      </w:r>
    </w:p>
    <w:p w14:paraId="2383EC06">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 xml:space="preserve">10.试剂包装规格：提供不多于50测试/盒的最小包装，避免开瓶有效期导致试剂浪费； </w:t>
      </w:r>
    </w:p>
    <w:p w14:paraId="1ED8B717">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11.特异性过敏原IgE校准品不大于3个水平，总IgE无需单独校准品；</w:t>
      </w:r>
    </w:p>
    <w:p w14:paraId="1AB9939D">
      <w:pPr>
        <w:pStyle w:val="31"/>
        <w:numPr>
          <w:ilvl w:val="0"/>
          <w:numId w:val="0"/>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12.提供 1–2 台与试剂盒配套的全自动检测设备及判读系统；</w:t>
      </w:r>
    </w:p>
    <w:p w14:paraId="3EBFD581">
      <w:pPr>
        <w:pStyle w:val="2"/>
        <w:numPr>
          <w:ilvl w:val="0"/>
          <w:numId w:val="0"/>
        </w:numPr>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  </w:t>
      </w:r>
    </w:p>
    <w:p w14:paraId="4E330BE9">
      <w:pPr>
        <w:pStyle w:val="2"/>
        <w:numPr>
          <w:ilvl w:val="0"/>
          <w:numId w:val="0"/>
        </w:numPr>
        <w:ind w:firstLine="480"/>
        <w:rPr>
          <w:rFonts w:hint="eastAsia" w:ascii="Times New Roman"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包</w:t>
      </w:r>
      <w:r>
        <w:rPr>
          <w:rFonts w:hint="default" w:ascii="Times New Roman" w:hAnsi="Times New Roman" w:cs="Times New Roman"/>
          <w:b/>
          <w:bCs/>
          <w:color w:val="auto"/>
          <w:sz w:val="24"/>
          <w:szCs w:val="24"/>
          <w:lang w:val="en-US" w:eastAsia="zh-CN"/>
        </w:rPr>
        <w:t>1</w:t>
      </w:r>
      <w:r>
        <w:rPr>
          <w:rFonts w:hint="eastAsia" w:ascii="Times New Roman" w:cs="Times New Roman"/>
          <w:b/>
          <w:bCs/>
          <w:color w:val="auto"/>
          <w:sz w:val="24"/>
          <w:szCs w:val="24"/>
          <w:lang w:val="en-US" w:eastAsia="zh-CN"/>
        </w:rPr>
        <w:t>3</w:t>
      </w:r>
    </w:p>
    <w:p w14:paraId="48E95B6E">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用于体外定性检测人外周静脉血样本中的抗血小板自身抗体</w:t>
      </w:r>
    </w:p>
    <w:p w14:paraId="61918828">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参数：</w:t>
      </w:r>
    </w:p>
    <w:p w14:paraId="7E481D34">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1.流式细胞仪-荧光法</w:t>
      </w:r>
    </w:p>
    <w:p w14:paraId="713435E0">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2.检测项目，人外周静脉血样本中抗血小板自身抗体包含但不仅限于：GPIX自身抗体、GPIb自身抗体、GPIIb自身抗体、GPIIIa自身抗体、GMP140自身抗体；</w:t>
      </w:r>
    </w:p>
    <w:p w14:paraId="5851EACC">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3.批内精密度： 对弱阳性样本进行检测，结果的符合率 ≥ 90% 或 定性结果一致</w:t>
      </w:r>
    </w:p>
    <w:p w14:paraId="1545D1D4">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4.批间精密度： 对不同批号试剂检测同一弱阳性样本，结果的符合率 ≥ 90% 或 定性结果一致</w:t>
      </w:r>
    </w:p>
    <w:p w14:paraId="4663ABE4">
      <w:pPr>
        <w:pStyle w:val="2"/>
        <w:numPr>
          <w:ilvl w:val="0"/>
          <w:numId w:val="0"/>
        </w:numPr>
        <w:ind w:firstLine="480"/>
        <w:rPr>
          <w:rFonts w:hint="default" w:ascii="Times New Roman" w:hAnsi="Times New Roman" w:eastAsia="宋体" w:cs="Times New Roman"/>
          <w:b/>
          <w:bCs/>
          <w:color w:val="auto"/>
          <w:sz w:val="24"/>
          <w:szCs w:val="24"/>
          <w:lang w:val="en-US" w:eastAsia="zh-CN"/>
        </w:rPr>
      </w:pPr>
    </w:p>
    <w:p w14:paraId="65FCE7FC">
      <w:pPr>
        <w:pStyle w:val="2"/>
        <w:numPr>
          <w:ilvl w:val="0"/>
          <w:numId w:val="0"/>
        </w:numPr>
        <w:ind w:firstLine="480"/>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包1</w:t>
      </w:r>
      <w:r>
        <w:rPr>
          <w:rFonts w:hint="eastAsia" w:ascii="Times New Roman" w:hAnsi="Times New Roman" w:eastAsia="宋体" w:cs="Times New Roman"/>
          <w:b/>
          <w:bCs/>
          <w:color w:val="auto"/>
          <w:sz w:val="24"/>
          <w:szCs w:val="24"/>
          <w:lang w:val="en-US" w:eastAsia="zh-CN"/>
        </w:rPr>
        <w:t>4</w:t>
      </w:r>
    </w:p>
    <w:p w14:paraId="7434A59F">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用途：用于培养厌氧细菌。</w:t>
      </w:r>
    </w:p>
    <w:p w14:paraId="750FA6C5">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参数：</w:t>
      </w:r>
    </w:p>
    <w:p w14:paraId="4F08E220">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1.该产气袋采用高质量的材料制成，具有良好的耐腐蚀性和密封性，能够有效防止气体泄漏。</w:t>
      </w:r>
    </w:p>
    <w:p w14:paraId="69FA3DF8">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2.发生器小袋含有相同的化合物（活性碳，抗坏血酸盐和其他有机和无机的化合物)，这些化合物吸收氧气并释放出CO2。</w:t>
      </w:r>
    </w:p>
    <w:p w14:paraId="0F18E115">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3.产品规格：独立无菌包装，单包标准化规格，批次一致性好，无破损、无漏粉、无受潮结块。</w:t>
      </w:r>
    </w:p>
    <w:p w14:paraId="09971F32">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4. 有效期：常温避光储存，有效期≥10个月。</w:t>
      </w:r>
    </w:p>
    <w:p w14:paraId="58F93C20">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5. 培养效果：产气稳定、适配常见厌氧菌。性能验证铜绿假单胞菌不生长，拟杆菌、梭菌等厌氧菌生长良好。</w:t>
      </w:r>
    </w:p>
    <w:p w14:paraId="574AE725">
      <w:pPr>
        <w:pStyle w:val="31"/>
        <w:numPr>
          <w:ilvl w:val="0"/>
          <w:numId w:val="0"/>
        </w:numPr>
        <w:ind w:firstLine="480" w:firstLineChars="200"/>
        <w:rPr>
          <w:rFonts w:hint="eastAsia" w:hAnsi="宋体" w:cs="宋体"/>
          <w:b w:val="0"/>
          <w:bCs w:val="0"/>
          <w:color w:val="auto"/>
          <w:sz w:val="24"/>
          <w:szCs w:val="24"/>
          <w:lang w:val="en-US" w:eastAsia="zh-CN"/>
        </w:rPr>
      </w:pPr>
    </w:p>
    <w:p w14:paraId="46BA948C">
      <w:pPr>
        <w:pStyle w:val="31"/>
        <w:numPr>
          <w:ilvl w:val="0"/>
          <w:numId w:val="0"/>
        </w:numPr>
        <w:ind w:firstLine="482" w:firstLineChars="200"/>
        <w:rPr>
          <w:rFonts w:hint="default" w:hAnsi="宋体" w:cs="宋体"/>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包1</w:t>
      </w:r>
      <w:r>
        <w:rPr>
          <w:rFonts w:hint="eastAsia" w:ascii="Times New Roman" w:hAnsi="Times New Roman" w:cs="Times New Roman"/>
          <w:b/>
          <w:bCs/>
          <w:color w:val="auto"/>
          <w:sz w:val="24"/>
          <w:szCs w:val="24"/>
          <w:lang w:val="en-US" w:eastAsia="zh-CN"/>
        </w:rPr>
        <w:t>5</w:t>
      </w:r>
    </w:p>
    <w:p w14:paraId="0752ABF8">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功能:用于凝血四项检测(FIB、PT、APTT、TT)</w:t>
      </w:r>
    </w:p>
    <w:p w14:paraId="6D50CDDD">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参数：</w:t>
      </w:r>
    </w:p>
    <w:p w14:paraId="0374C4ED">
      <w:pPr>
        <w:pStyle w:val="31"/>
        <w:numPr>
          <w:ilvl w:val="0"/>
          <w:numId w:val="0"/>
        </w:numPr>
        <w:ind w:firstLine="480" w:firstLineChars="200"/>
        <w:rPr>
          <w:rFonts w:hint="default" w:hAnsi="宋体" w:cs="宋体"/>
          <w:b w:val="0"/>
          <w:bCs w:val="0"/>
          <w:color w:val="auto"/>
          <w:sz w:val="24"/>
          <w:szCs w:val="24"/>
          <w:lang w:val="en-US" w:eastAsia="zh-CN"/>
        </w:rPr>
      </w:pPr>
      <w:r>
        <w:rPr>
          <w:rFonts w:hint="eastAsia" w:hAnsi="宋体" w:cs="宋体"/>
          <w:b w:val="0"/>
          <w:bCs w:val="0"/>
          <w:color w:val="auto"/>
          <w:sz w:val="24"/>
          <w:szCs w:val="24"/>
          <w:lang w:val="en-US" w:eastAsia="zh-CN"/>
        </w:rPr>
        <w:t>1.检测原理采用磁珠法或光学法，如果仅采用光学法检测，必须有溶血、黄疸、乳糜样本监测及处理功能；</w:t>
      </w:r>
    </w:p>
    <w:p w14:paraId="67C1DB51">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2.提供配套凝血分析流水线2条(根据仪器检测性能、样本量等确定配套设备检测模块数量)，凝血四项单机测试速度应≥260T/h;</w:t>
      </w:r>
    </w:p>
    <w:p w14:paraId="3AAD3F55">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3.可设置急诊优先检测;</w:t>
      </w:r>
    </w:p>
    <w:p w14:paraId="36231E22">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4.设备支持与LIS系统信息双向通讯，具备数据传输校验机制，确保信息完整性与准确性;</w:t>
      </w:r>
    </w:p>
    <w:p w14:paraId="2C0B9EBE">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5.样本条码自动识别率≥99%，未识别到条码时自动报警并保留样本位，支持手动补录信息后继续检测，不影响整体流程;支持样本管标签正向、反向、倾斜(≤10°)扫描;</w:t>
      </w:r>
    </w:p>
    <w:p w14:paraId="4724D5AF">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6.PT、TT、APTT批内CV≤5%,批间CV≤10%;FIB批内CV≤8%，批间≤15%;</w:t>
      </w:r>
    </w:p>
    <w:p w14:paraId="39756521">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7.FIB性能验证能满足直接线性范围1.0-6.0g/L，可报告范围1.0-10.0g/L;</w:t>
      </w:r>
    </w:p>
    <w:p w14:paraId="66753ABB">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8.能消除由于血浆中黄疸、溶血、乳糜、浑浊等原因造成的检测干扰，在血浆样本中胆红素≤15mg/dL、血红蛋白≤100mg/dL、甘油三酯≤200mng/dL时，干扰引起的测量值相对偏差在±10%的范围内;</w:t>
      </w:r>
    </w:p>
    <w:p w14:paraId="2435092C">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9.试剂开封后载机稳定效期≥5天;</w:t>
      </w:r>
    </w:p>
    <w:p w14:paraId="72717BF2">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10.凝血四项检测试剂在国家卫健委临床检验中心组织的室间质评中具有品牌独立分组，且该品牌试剂独立分组的参与实验室数量均不少于100家(提供佐证材料)。</w:t>
      </w:r>
    </w:p>
    <w:p w14:paraId="5CE91453">
      <w:pPr>
        <w:pStyle w:val="31"/>
        <w:numPr>
          <w:ilvl w:val="0"/>
          <w:numId w:val="0"/>
        </w:numPr>
        <w:ind w:firstLine="480" w:firstLineChars="200"/>
        <w:rPr>
          <w:rFonts w:hint="eastAsia" w:hAnsi="宋体" w:cs="宋体"/>
          <w:b w:val="0"/>
          <w:bCs w:val="0"/>
          <w:color w:val="auto"/>
          <w:sz w:val="24"/>
          <w:szCs w:val="24"/>
          <w:lang w:val="en-US" w:eastAsia="zh-CN"/>
        </w:rPr>
      </w:pPr>
    </w:p>
    <w:p w14:paraId="225790D0">
      <w:pPr>
        <w:pStyle w:val="31"/>
        <w:numPr>
          <w:ilvl w:val="0"/>
          <w:numId w:val="0"/>
        </w:numPr>
        <w:ind w:firstLine="482" w:firstLineChars="200"/>
        <w:rPr>
          <w:rFonts w:hint="default" w:hAnsi="宋体" w:cs="宋体"/>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包1</w:t>
      </w:r>
      <w:r>
        <w:rPr>
          <w:rFonts w:hint="eastAsia" w:ascii="Times New Roman" w:hAnsi="Times New Roman" w:cs="Times New Roman"/>
          <w:b/>
          <w:bCs/>
          <w:color w:val="auto"/>
          <w:sz w:val="24"/>
          <w:szCs w:val="24"/>
          <w:lang w:val="en-US" w:eastAsia="zh-CN"/>
        </w:rPr>
        <w:t>6</w:t>
      </w:r>
    </w:p>
    <w:p w14:paraId="7004532B">
      <w:pPr>
        <w:pStyle w:val="31"/>
        <w:numPr>
          <w:ilvl w:val="0"/>
          <w:numId w:val="3"/>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化学发光法;</w:t>
      </w:r>
    </w:p>
    <w:p w14:paraId="62304105">
      <w:pPr>
        <w:pStyle w:val="31"/>
        <w:numPr>
          <w:ilvl w:val="0"/>
          <w:numId w:val="0"/>
        </w:numPr>
        <w:ind w:firstLine="480" w:firstLineChars="200"/>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2. 用于体外检测人血清样本中抗黑色素瘤分化相关基因5抗体，用于皮肌炎和间质性肺病的辅助诊断。</w:t>
      </w:r>
    </w:p>
    <w:p w14:paraId="7F99C81E">
      <w:pPr>
        <w:rPr>
          <w:rFonts w:hint="eastAsia"/>
          <w:lang w:val="en-US" w:eastAsia="zh-CN"/>
        </w:rPr>
      </w:pPr>
    </w:p>
    <w:p w14:paraId="5533BE98">
      <w:pPr>
        <w:pStyle w:val="2"/>
        <w:numPr>
          <w:ilvl w:val="0"/>
          <w:numId w:val="0"/>
        </w:numPr>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5650"/>
      <w:bookmarkStart w:id="66" w:name="_Toc2072"/>
      <w:bookmarkStart w:id="67" w:name="_Toc17944"/>
      <w:bookmarkStart w:id="68" w:name="_Toc7794"/>
      <w:bookmarkStart w:id="69" w:name="_Toc4791"/>
      <w:bookmarkStart w:id="70" w:name="_Toc31843"/>
      <w:bookmarkStart w:id="71" w:name="_Toc24122"/>
      <w:bookmarkStart w:id="72" w:name="_Toc17524"/>
      <w:bookmarkStart w:id="73" w:name="_Toc76373878"/>
      <w:bookmarkStart w:id="74" w:name="_Toc1768"/>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5959"/>
      <w:bookmarkStart w:id="77" w:name="_Toc29836"/>
      <w:bookmarkStart w:id="78" w:name="_Toc14311"/>
      <w:bookmarkStart w:id="79" w:name="_Toc9339"/>
      <w:bookmarkStart w:id="80" w:name="_Toc22561"/>
      <w:bookmarkStart w:id="81" w:name="_Toc76373879"/>
      <w:bookmarkStart w:id="82" w:name="_Toc30551"/>
      <w:bookmarkStart w:id="83" w:name="_Toc13528"/>
      <w:bookmarkStart w:id="84" w:name="_Toc28942"/>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7737"/>
      <w:bookmarkStart w:id="87" w:name="_Toc12384"/>
      <w:bookmarkStart w:id="88" w:name="_Toc2258"/>
      <w:bookmarkStart w:id="89" w:name="_Toc20263"/>
      <w:bookmarkStart w:id="90" w:name="_Toc20772"/>
      <w:bookmarkStart w:id="91" w:name="_Toc76373885"/>
      <w:bookmarkStart w:id="92" w:name="_Toc27893"/>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76373886"/>
      <w:bookmarkStart w:id="94" w:name="_Toc7115"/>
      <w:bookmarkStart w:id="95" w:name="_Toc23699"/>
      <w:bookmarkStart w:id="96" w:name="_Toc28189"/>
      <w:bookmarkStart w:id="97" w:name="_Toc11052"/>
      <w:bookmarkStart w:id="98" w:name="_Toc12712"/>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4D7FB686">
      <w:pPr>
        <w:spacing w:line="400" w:lineRule="exact"/>
        <w:outlineLvl w:val="1"/>
        <w:rPr>
          <w:rFonts w:hint="eastAsia" w:cs="宋体"/>
          <w:b/>
          <w:color w:val="auto"/>
          <w:sz w:val="24"/>
        </w:rPr>
      </w:pPr>
      <w:bookmarkStart w:id="100" w:name="_Toc19809"/>
      <w:bookmarkStart w:id="101" w:name="_Toc13585"/>
      <w:bookmarkStart w:id="102" w:name="_Toc9147"/>
      <w:bookmarkStart w:id="103" w:name="_Toc76373887"/>
      <w:bookmarkStart w:id="104" w:name="_Toc31293"/>
      <w:bookmarkStart w:id="105" w:name="_Toc5535"/>
      <w:bookmarkStart w:id="106"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2853F9D2">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007A3CC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rPr>
      </w:pPr>
      <w:bookmarkStart w:id="107" w:name="_Toc76373889"/>
      <w:bookmarkStart w:id="108" w:name="_Toc30068"/>
      <w:bookmarkStart w:id="109" w:name="_Toc5251"/>
      <w:bookmarkStart w:id="110" w:name="_Toc8546"/>
      <w:bookmarkStart w:id="111" w:name="_Toc2900"/>
      <w:bookmarkStart w:id="112" w:name="_Toc16925"/>
    </w:p>
    <w:p w14:paraId="007A6614">
      <w:pPr>
        <w:numPr>
          <w:ilvl w:val="0"/>
          <w:numId w:val="0"/>
        </w:numPr>
        <w:spacing w:line="400" w:lineRule="exact"/>
        <w:outlineLvl w:val="1"/>
        <w:rPr>
          <w:rFonts w:hint="eastAsia" w:cs="宋体"/>
          <w:b/>
          <w:color w:val="auto"/>
          <w:sz w:val="24"/>
        </w:rPr>
      </w:pPr>
      <w:bookmarkStart w:id="113" w:name="_Toc13294"/>
      <w:r>
        <w:rPr>
          <w:rFonts w:hint="eastAsia" w:cs="宋体"/>
          <w:b/>
          <w:color w:val="auto"/>
          <w:sz w:val="24"/>
          <w:lang w:eastAsia="zh-CN"/>
        </w:rPr>
        <w:t>三、</w:t>
      </w:r>
      <w:r>
        <w:rPr>
          <w:rFonts w:hint="eastAsia" w:cs="宋体"/>
          <w:b/>
          <w:color w:val="auto"/>
          <w:sz w:val="24"/>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rPr>
      </w:pPr>
      <w:bookmarkStart w:id="114"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4"/>
    </w:p>
    <w:p w14:paraId="0754407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11342"/>
      <w:bookmarkStart w:id="116" w:name="_Toc76373890"/>
      <w:bookmarkStart w:id="117" w:name="_Toc11654"/>
      <w:bookmarkStart w:id="118" w:name="_Toc26071"/>
      <w:bookmarkStart w:id="119" w:name="_Toc27443"/>
      <w:bookmarkStart w:id="120" w:name="_Toc20034"/>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0391"/>
      <w:bookmarkStart w:id="123" w:name="_Toc27646"/>
      <w:bookmarkStart w:id="124" w:name="_Toc76373891"/>
      <w:bookmarkStart w:id="125" w:name="_Toc25199"/>
      <w:bookmarkStart w:id="126" w:name="_Toc10864"/>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76373904"/>
      <w:bookmarkStart w:id="135" w:name="_Toc19409"/>
      <w:bookmarkStart w:id="136" w:name="_Toc20762"/>
      <w:bookmarkStart w:id="137" w:name="_Toc24088"/>
      <w:bookmarkStart w:id="138" w:name="_Toc2975"/>
      <w:bookmarkStart w:id="139" w:name="_Toc1015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6112"/>
      <w:bookmarkStart w:id="141" w:name="_Toc11892"/>
      <w:bookmarkStart w:id="142" w:name="_Toc25920"/>
      <w:bookmarkStart w:id="143" w:name="_Toc11763"/>
      <w:bookmarkStart w:id="144" w:name="_Toc76373907"/>
      <w:bookmarkStart w:id="145" w:name="_Toc7750"/>
      <w:bookmarkStart w:id="146" w:name="_Toc12863"/>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8" w:name="OLE_LINK14"/>
      <w:r>
        <w:rPr>
          <w:rFonts w:hint="eastAsia" w:ascii="宋体" w:hAnsi="宋体" w:eastAsia="宋体" w:cs="宋体"/>
          <w:color w:val="auto"/>
          <w:kern w:val="2"/>
          <w:sz w:val="24"/>
          <w:szCs w:val="24"/>
          <w:lang w:val="en-US" w:eastAsia="zh-CN" w:bidi="ar-SA"/>
        </w:rPr>
        <w:t>如</w:t>
      </w:r>
      <w:bookmarkEnd w:id="148"/>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9"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22827"/>
      <w:bookmarkStart w:id="155" w:name="_Toc10063"/>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21830"/>
      <w:bookmarkStart w:id="161" w:name="_Toc9795"/>
      <w:bookmarkStart w:id="162" w:name="_Toc21431"/>
      <w:bookmarkStart w:id="163" w:name="_Toc493178790"/>
      <w:bookmarkStart w:id="164" w:name="_Toc76373909"/>
      <w:bookmarkStart w:id="165" w:name="_Toc27306"/>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rPr>
      </w:pPr>
      <w:bookmarkStart w:id="169" w:name="OLE_LINK10"/>
      <w:r>
        <w:rPr>
          <w:rFonts w:hint="eastAsia" w:ascii="宋体" w:hAnsi="宋体" w:eastAsia="宋体" w:cs="宋体"/>
          <w:sz w:val="24"/>
          <w:szCs w:val="24"/>
          <w:lang w:eastAsia="zh-CN"/>
        </w:rPr>
        <w:t>（</w:t>
      </w:r>
      <w:r>
        <w:rPr>
          <w:rFonts w:hint="eastAsia" w:ascii="宋体" w:hAnsi="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开标现场最终报价表</w:t>
      </w:r>
    </w:p>
    <w:bookmarkEnd w:id="169"/>
    <w:p w14:paraId="76B976A1">
      <w:pPr>
        <w:pStyle w:val="2"/>
        <w:numPr>
          <w:ilvl w:val="0"/>
          <w:numId w:val="0"/>
        </w:numPr>
        <w:rPr>
          <w:rFonts w:hint="eastAsia" w:ascii="宋体" w:hAnsi="宋体" w:eastAsia="宋体" w:cs="宋体"/>
          <w:color w:val="000000"/>
          <w:sz w:val="24"/>
          <w:szCs w:val="24"/>
          <w:lang w:eastAsia="zh-CN"/>
        </w:rPr>
      </w:pPr>
      <w:r>
        <w:rPr>
          <w:rFonts w:hint="eastAsia"/>
          <w:lang w:val="en-US" w:eastAsia="zh-CN"/>
        </w:rPr>
        <w:t xml:space="preserve">     注：</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开标现场最终报价表</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须</w:t>
      </w:r>
      <w:r>
        <w:rPr>
          <w:rFonts w:hint="default" w:ascii="宋体" w:hAnsi="宋体" w:eastAsia="宋体" w:cs="宋体"/>
          <w:color w:val="000000"/>
          <w:sz w:val="24"/>
          <w:szCs w:val="24"/>
        </w:rPr>
        <w:t>与报名时提交的“耗材报名表”的中载明的产品信息（含产品注册证名称、规格型号、顺序等）保持一致</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开标现场最终报价表</w:t>
      </w:r>
      <w:r>
        <w:rPr>
          <w:rFonts w:hint="eastAsia" w:ascii="宋体" w:hAnsi="宋体" w:eastAsia="宋体" w:cs="宋体"/>
          <w:b/>
          <w:bCs/>
          <w:color w:val="000000"/>
          <w:sz w:val="24"/>
          <w:szCs w:val="24"/>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2721039"/>
      <w:bookmarkStart w:id="177" w:name="_Toc12647"/>
      <w:bookmarkStart w:id="178" w:name="_Toc16487"/>
      <w:bookmarkStart w:id="179" w:name="_Toc20875"/>
      <w:bookmarkStart w:id="180" w:name="_Toc411"/>
      <w:bookmarkStart w:id="181" w:name="_Toc76373910"/>
      <w:bookmarkStart w:id="182" w:name="_Toc493178791"/>
      <w:bookmarkStart w:id="183"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76373912"/>
      <w:bookmarkStart w:id="187" w:name="_Toc20605"/>
      <w:bookmarkStart w:id="188" w:name="_Toc16151"/>
      <w:bookmarkStart w:id="189" w:name="_Toc4250"/>
      <w:bookmarkStart w:id="190" w:name="_Toc19291"/>
      <w:bookmarkStart w:id="191" w:name="_Toc6217"/>
      <w:bookmarkStart w:id="192" w:name="_Toc493178793"/>
      <w:bookmarkStart w:id="193" w:name="_Toc492721038"/>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5AE526A6">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7DC4EB4-2DFE-4FC1-86E3-1E85B8BF4B4E}"/>
  </w:font>
  <w:font w:name="黑体">
    <w:panose1 w:val="02010609060101010101"/>
    <w:charset w:val="86"/>
    <w:family w:val="auto"/>
    <w:pitch w:val="default"/>
    <w:sig w:usb0="800002BF" w:usb1="38CF7CFA" w:usb2="00000016" w:usb3="00000000" w:csb0="00040001" w:csb1="00000000"/>
    <w:embedRegular r:id="rId2" w:fontKey="{1B367495-6343-465E-B303-B8A53E20CE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87562040-4B98-44FC-84FF-F74348330259}"/>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05489D6E-A864-40C0-9C93-ECE1F61C0ADF}"/>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7717B1B-E9B3-4775-88F0-38D8E8D13143}"/>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BAA32E6-F6C7-4E9A-B7B8-26E81747AB41}"/>
  </w:font>
  <w:font w:name="方正黑体_GBK">
    <w:panose1 w:val="03000509000000000000"/>
    <w:charset w:val="86"/>
    <w:family w:val="script"/>
    <w:pitch w:val="default"/>
    <w:sig w:usb0="00000001" w:usb1="080E0000" w:usb2="00000000" w:usb3="00000000" w:csb0="00040000" w:csb1="00000000"/>
    <w:embedRegular r:id="rId7" w:fontKey="{7321E51A-4973-4E5B-A879-65D66E880333}"/>
  </w:font>
  <w:font w:name="方正小标宋_GBK">
    <w:panose1 w:val="03000509000000000000"/>
    <w:charset w:val="86"/>
    <w:family w:val="script"/>
    <w:pitch w:val="default"/>
    <w:sig w:usb0="00000001" w:usb1="080E0000" w:usb2="00000000" w:usb3="00000000" w:csb0="00040000" w:csb1="00000000"/>
    <w:embedRegular r:id="rId8" w:fontKey="{A00D70D4-AE51-4A0D-95B2-845D4D52C25E}"/>
  </w:font>
  <w:font w:name="微软雅黑">
    <w:panose1 w:val="020B0503020204020204"/>
    <w:charset w:val="86"/>
    <w:family w:val="swiss"/>
    <w:pitch w:val="default"/>
    <w:sig w:usb0="80000287" w:usb1="2ACF3C50" w:usb2="00000016" w:usb3="00000000" w:csb0="0004001F" w:csb1="00000000"/>
    <w:embedRegular r:id="rId9" w:fontKey="{A6D5DC4F-26EE-406C-99B8-F30C569AEFB2}"/>
  </w:font>
  <w:font w:name="仿宋">
    <w:panose1 w:val="02010609060101010101"/>
    <w:charset w:val="86"/>
    <w:family w:val="modern"/>
    <w:pitch w:val="default"/>
    <w:sig w:usb0="800002BF" w:usb1="38CF7CFA" w:usb2="00000016" w:usb3="00000000" w:csb0="00040001" w:csb1="00000000"/>
    <w:embedRegular r:id="rId10" w:fontKey="{611C782F-6D04-4123-B637-ACFDDBDBCB9C}"/>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E4990"/>
    <w:multiLevelType w:val="singleLevel"/>
    <w:tmpl w:val="9A3E4990"/>
    <w:lvl w:ilvl="0" w:tentative="0">
      <w:start w:val="1"/>
      <w:numFmt w:val="decimal"/>
      <w:lvlText w:val="%1."/>
      <w:lvlJc w:val="left"/>
      <w:pPr>
        <w:tabs>
          <w:tab w:val="left" w:pos="312"/>
        </w:tabs>
      </w:pPr>
    </w:lvl>
  </w:abstractNum>
  <w:abstractNum w:abstractNumId="1">
    <w:nsid w:val="A09266BD"/>
    <w:multiLevelType w:val="singleLevel"/>
    <w:tmpl w:val="A09266BD"/>
    <w:lvl w:ilvl="0" w:tentative="0">
      <w:start w:val="1"/>
      <w:numFmt w:val="decimal"/>
      <w:suff w:val="space"/>
      <w:lvlText w:val="%1."/>
      <w:lvlJc w:val="left"/>
    </w:lvl>
  </w:abstractNum>
  <w:abstractNum w:abstractNumId="2">
    <w:nsid w:val="48881543"/>
    <w:multiLevelType w:val="singleLevel"/>
    <w:tmpl w:val="48881543"/>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117D9A"/>
    <w:rsid w:val="024271AE"/>
    <w:rsid w:val="027C5214"/>
    <w:rsid w:val="02AC07E3"/>
    <w:rsid w:val="02E45A44"/>
    <w:rsid w:val="02EB05EB"/>
    <w:rsid w:val="02FE20CD"/>
    <w:rsid w:val="0328467E"/>
    <w:rsid w:val="035C3044"/>
    <w:rsid w:val="03A644DC"/>
    <w:rsid w:val="03B24C65"/>
    <w:rsid w:val="042A6DBC"/>
    <w:rsid w:val="0430275A"/>
    <w:rsid w:val="043468AE"/>
    <w:rsid w:val="04620FC2"/>
    <w:rsid w:val="04784F50"/>
    <w:rsid w:val="04B073F7"/>
    <w:rsid w:val="04B31B81"/>
    <w:rsid w:val="04FA6940"/>
    <w:rsid w:val="052E6D77"/>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26555"/>
    <w:rsid w:val="085628C1"/>
    <w:rsid w:val="08692418"/>
    <w:rsid w:val="0874698D"/>
    <w:rsid w:val="08782D22"/>
    <w:rsid w:val="088C1E28"/>
    <w:rsid w:val="08BF694C"/>
    <w:rsid w:val="08E43147"/>
    <w:rsid w:val="090A7B0E"/>
    <w:rsid w:val="09972933"/>
    <w:rsid w:val="09A339CE"/>
    <w:rsid w:val="09A74F01"/>
    <w:rsid w:val="09CD27F9"/>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73138"/>
    <w:rsid w:val="0B4E2213"/>
    <w:rsid w:val="0B892BB1"/>
    <w:rsid w:val="0BA9238E"/>
    <w:rsid w:val="0BB023D2"/>
    <w:rsid w:val="0BC051FE"/>
    <w:rsid w:val="0BCD3A99"/>
    <w:rsid w:val="0C48085D"/>
    <w:rsid w:val="0C5F3336"/>
    <w:rsid w:val="0C5F69A3"/>
    <w:rsid w:val="0C715203"/>
    <w:rsid w:val="0C9150D4"/>
    <w:rsid w:val="0C995743"/>
    <w:rsid w:val="0CB4027A"/>
    <w:rsid w:val="0D33558B"/>
    <w:rsid w:val="0D37095D"/>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6C2C8C"/>
    <w:rsid w:val="127E6A08"/>
    <w:rsid w:val="128974EF"/>
    <w:rsid w:val="12C926DD"/>
    <w:rsid w:val="12CD2621"/>
    <w:rsid w:val="12DA4048"/>
    <w:rsid w:val="12F62DC0"/>
    <w:rsid w:val="135B2C24"/>
    <w:rsid w:val="135D699C"/>
    <w:rsid w:val="13715463"/>
    <w:rsid w:val="13DE6F89"/>
    <w:rsid w:val="13E52DC4"/>
    <w:rsid w:val="13F02804"/>
    <w:rsid w:val="140D0766"/>
    <w:rsid w:val="143D576D"/>
    <w:rsid w:val="147246C9"/>
    <w:rsid w:val="148B50A7"/>
    <w:rsid w:val="14922675"/>
    <w:rsid w:val="14EE0A46"/>
    <w:rsid w:val="156B048A"/>
    <w:rsid w:val="158D4B19"/>
    <w:rsid w:val="15A11B3C"/>
    <w:rsid w:val="15BE1509"/>
    <w:rsid w:val="15E2587E"/>
    <w:rsid w:val="16B60DAC"/>
    <w:rsid w:val="16B76298"/>
    <w:rsid w:val="16D01B7A"/>
    <w:rsid w:val="16D71809"/>
    <w:rsid w:val="17555641"/>
    <w:rsid w:val="17957DD1"/>
    <w:rsid w:val="17D16304"/>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11053"/>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2E5E1B"/>
    <w:rsid w:val="215869F4"/>
    <w:rsid w:val="216252EF"/>
    <w:rsid w:val="217A2796"/>
    <w:rsid w:val="217B1C68"/>
    <w:rsid w:val="21A01E72"/>
    <w:rsid w:val="21DC692A"/>
    <w:rsid w:val="21F61A98"/>
    <w:rsid w:val="21FC1A76"/>
    <w:rsid w:val="229A1929"/>
    <w:rsid w:val="22C40B4F"/>
    <w:rsid w:val="22E24041"/>
    <w:rsid w:val="22EC1AEA"/>
    <w:rsid w:val="236118E9"/>
    <w:rsid w:val="236817F3"/>
    <w:rsid w:val="23C878D4"/>
    <w:rsid w:val="23D314CE"/>
    <w:rsid w:val="241412F8"/>
    <w:rsid w:val="2419493C"/>
    <w:rsid w:val="242477F2"/>
    <w:rsid w:val="2433701E"/>
    <w:rsid w:val="24396D35"/>
    <w:rsid w:val="244D0366"/>
    <w:rsid w:val="2483014E"/>
    <w:rsid w:val="24A93760"/>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7D300E0"/>
    <w:rsid w:val="27FC3D62"/>
    <w:rsid w:val="28155093"/>
    <w:rsid w:val="281F201A"/>
    <w:rsid w:val="2853072B"/>
    <w:rsid w:val="28681C13"/>
    <w:rsid w:val="28930FA7"/>
    <w:rsid w:val="289F669F"/>
    <w:rsid w:val="28EE36E3"/>
    <w:rsid w:val="2955739D"/>
    <w:rsid w:val="29996E0E"/>
    <w:rsid w:val="299C670B"/>
    <w:rsid w:val="299F1664"/>
    <w:rsid w:val="29C260B1"/>
    <w:rsid w:val="29D67050"/>
    <w:rsid w:val="29DA009F"/>
    <w:rsid w:val="29DD03DE"/>
    <w:rsid w:val="2A1059CA"/>
    <w:rsid w:val="2A417CC7"/>
    <w:rsid w:val="2A61691A"/>
    <w:rsid w:val="2AA32FDC"/>
    <w:rsid w:val="2ABA73DE"/>
    <w:rsid w:val="2ACA2711"/>
    <w:rsid w:val="2AF57FA3"/>
    <w:rsid w:val="2AFE060C"/>
    <w:rsid w:val="2B0C5FF2"/>
    <w:rsid w:val="2B285A09"/>
    <w:rsid w:val="2B3264F9"/>
    <w:rsid w:val="2B48517B"/>
    <w:rsid w:val="2B5122DB"/>
    <w:rsid w:val="2B5C5315"/>
    <w:rsid w:val="2B723D14"/>
    <w:rsid w:val="2B8B0759"/>
    <w:rsid w:val="2B9B21BC"/>
    <w:rsid w:val="2BA52AAD"/>
    <w:rsid w:val="2BA91CBB"/>
    <w:rsid w:val="2BB51860"/>
    <w:rsid w:val="2BB62C95"/>
    <w:rsid w:val="2BBD2276"/>
    <w:rsid w:val="2BE13314"/>
    <w:rsid w:val="2C0B6D4E"/>
    <w:rsid w:val="2C1D3DF7"/>
    <w:rsid w:val="2C6F14EE"/>
    <w:rsid w:val="2C73502A"/>
    <w:rsid w:val="2C8B4F8E"/>
    <w:rsid w:val="2C944B1D"/>
    <w:rsid w:val="2CC118F2"/>
    <w:rsid w:val="2CD755B9"/>
    <w:rsid w:val="2D4A5D8B"/>
    <w:rsid w:val="2D5478F6"/>
    <w:rsid w:val="2D947006"/>
    <w:rsid w:val="2D97349E"/>
    <w:rsid w:val="2D986AF6"/>
    <w:rsid w:val="2DAB102E"/>
    <w:rsid w:val="2DCE144A"/>
    <w:rsid w:val="2DD436E9"/>
    <w:rsid w:val="2DE2257A"/>
    <w:rsid w:val="2DF437DB"/>
    <w:rsid w:val="2E2A3C23"/>
    <w:rsid w:val="2E8010D8"/>
    <w:rsid w:val="2E864E16"/>
    <w:rsid w:val="2E89643F"/>
    <w:rsid w:val="2E9A064C"/>
    <w:rsid w:val="2EB3170E"/>
    <w:rsid w:val="2ED51684"/>
    <w:rsid w:val="2EF17D60"/>
    <w:rsid w:val="2F1630CA"/>
    <w:rsid w:val="2F1C5505"/>
    <w:rsid w:val="2F512BF4"/>
    <w:rsid w:val="2F8F3BF5"/>
    <w:rsid w:val="2FC763F8"/>
    <w:rsid w:val="2FD12EBD"/>
    <w:rsid w:val="2FDE6606"/>
    <w:rsid w:val="2FE54462"/>
    <w:rsid w:val="304E5B92"/>
    <w:rsid w:val="30A734F4"/>
    <w:rsid w:val="30A91101"/>
    <w:rsid w:val="30A91DD9"/>
    <w:rsid w:val="30B264CC"/>
    <w:rsid w:val="30B30929"/>
    <w:rsid w:val="30D47F19"/>
    <w:rsid w:val="30DC4F4C"/>
    <w:rsid w:val="31270277"/>
    <w:rsid w:val="31497949"/>
    <w:rsid w:val="315076E8"/>
    <w:rsid w:val="315B58E2"/>
    <w:rsid w:val="315F792B"/>
    <w:rsid w:val="318850D4"/>
    <w:rsid w:val="31AD2A0C"/>
    <w:rsid w:val="31B934DF"/>
    <w:rsid w:val="31BF65A8"/>
    <w:rsid w:val="31C0486E"/>
    <w:rsid w:val="320F7AC3"/>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3D21A6"/>
    <w:rsid w:val="34500549"/>
    <w:rsid w:val="34620C63"/>
    <w:rsid w:val="34780FBD"/>
    <w:rsid w:val="34D32B0A"/>
    <w:rsid w:val="34E765FA"/>
    <w:rsid w:val="354237EC"/>
    <w:rsid w:val="355234B6"/>
    <w:rsid w:val="3556260B"/>
    <w:rsid w:val="35812566"/>
    <w:rsid w:val="35D02BA5"/>
    <w:rsid w:val="363870C8"/>
    <w:rsid w:val="367D7C3A"/>
    <w:rsid w:val="368C2F70"/>
    <w:rsid w:val="36926278"/>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DF7CCF"/>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1D2D91"/>
    <w:rsid w:val="3B333C93"/>
    <w:rsid w:val="3B4C5C32"/>
    <w:rsid w:val="3B6651D3"/>
    <w:rsid w:val="3B725D38"/>
    <w:rsid w:val="3B936B4F"/>
    <w:rsid w:val="3BAC5E63"/>
    <w:rsid w:val="3BC91261"/>
    <w:rsid w:val="3BDD01BE"/>
    <w:rsid w:val="3C1B3ABE"/>
    <w:rsid w:val="3C423D71"/>
    <w:rsid w:val="3C667DC0"/>
    <w:rsid w:val="3C734932"/>
    <w:rsid w:val="3C782BF7"/>
    <w:rsid w:val="3C8841DA"/>
    <w:rsid w:val="3C8E2251"/>
    <w:rsid w:val="3C9E5315"/>
    <w:rsid w:val="3CD13A14"/>
    <w:rsid w:val="3CE44B4F"/>
    <w:rsid w:val="3CFC6197"/>
    <w:rsid w:val="3CFE449C"/>
    <w:rsid w:val="3D167A38"/>
    <w:rsid w:val="3D1E78BD"/>
    <w:rsid w:val="3D46457E"/>
    <w:rsid w:val="3D4D5450"/>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2F4DE1"/>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E95C6A"/>
    <w:rsid w:val="441A11A6"/>
    <w:rsid w:val="44460609"/>
    <w:rsid w:val="444F1A18"/>
    <w:rsid w:val="447D214A"/>
    <w:rsid w:val="4484797D"/>
    <w:rsid w:val="449B0822"/>
    <w:rsid w:val="44B47048"/>
    <w:rsid w:val="44C07BF6"/>
    <w:rsid w:val="44D15EAF"/>
    <w:rsid w:val="44E81CBA"/>
    <w:rsid w:val="45224346"/>
    <w:rsid w:val="45335FE1"/>
    <w:rsid w:val="453F319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6725C"/>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514E4"/>
    <w:rsid w:val="4CE83F1B"/>
    <w:rsid w:val="4D0F6379"/>
    <w:rsid w:val="4D13189E"/>
    <w:rsid w:val="4D213A30"/>
    <w:rsid w:val="4D5D07CE"/>
    <w:rsid w:val="4DBB2C37"/>
    <w:rsid w:val="4DBE4874"/>
    <w:rsid w:val="4DBF7158"/>
    <w:rsid w:val="4DDD755C"/>
    <w:rsid w:val="4E0D453F"/>
    <w:rsid w:val="4E0E0A20"/>
    <w:rsid w:val="4E326C84"/>
    <w:rsid w:val="4E6A0F63"/>
    <w:rsid w:val="4E6D76D3"/>
    <w:rsid w:val="4EA8070C"/>
    <w:rsid w:val="4EBA5E8A"/>
    <w:rsid w:val="4ECE0172"/>
    <w:rsid w:val="4F1E2ED6"/>
    <w:rsid w:val="4F5D5052"/>
    <w:rsid w:val="4F6463E1"/>
    <w:rsid w:val="4F6552B7"/>
    <w:rsid w:val="4F6B3C13"/>
    <w:rsid w:val="4FC520EA"/>
    <w:rsid w:val="50385B91"/>
    <w:rsid w:val="503D043A"/>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7EF51D8"/>
    <w:rsid w:val="5813243B"/>
    <w:rsid w:val="582F1C0E"/>
    <w:rsid w:val="58352333"/>
    <w:rsid w:val="58523BC2"/>
    <w:rsid w:val="5853126A"/>
    <w:rsid w:val="588B2700"/>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5A2D8E"/>
    <w:rsid w:val="5B6A2566"/>
    <w:rsid w:val="5B8A1F1F"/>
    <w:rsid w:val="5BA66C84"/>
    <w:rsid w:val="5BB8371C"/>
    <w:rsid w:val="5C6D0DBF"/>
    <w:rsid w:val="5C7659A5"/>
    <w:rsid w:val="5C820917"/>
    <w:rsid w:val="5C961BA3"/>
    <w:rsid w:val="5CA7535F"/>
    <w:rsid w:val="5CB2531C"/>
    <w:rsid w:val="5CC429FE"/>
    <w:rsid w:val="5CC67BF9"/>
    <w:rsid w:val="5CCD61CB"/>
    <w:rsid w:val="5CEB1EEF"/>
    <w:rsid w:val="5CF0029A"/>
    <w:rsid w:val="5D013021"/>
    <w:rsid w:val="5D316CFC"/>
    <w:rsid w:val="5D562A10"/>
    <w:rsid w:val="5D8F4F70"/>
    <w:rsid w:val="5D910810"/>
    <w:rsid w:val="5DA54EAF"/>
    <w:rsid w:val="5DB2461B"/>
    <w:rsid w:val="5E0F43CC"/>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5611C5"/>
    <w:rsid w:val="61623540"/>
    <w:rsid w:val="616B1851"/>
    <w:rsid w:val="617C1E18"/>
    <w:rsid w:val="624A0A6B"/>
    <w:rsid w:val="624B2E2A"/>
    <w:rsid w:val="625A315D"/>
    <w:rsid w:val="627529DC"/>
    <w:rsid w:val="629417F0"/>
    <w:rsid w:val="631D5A96"/>
    <w:rsid w:val="63212E5F"/>
    <w:rsid w:val="632C283F"/>
    <w:rsid w:val="634E3CB8"/>
    <w:rsid w:val="637558CA"/>
    <w:rsid w:val="637864A7"/>
    <w:rsid w:val="63907D73"/>
    <w:rsid w:val="63967224"/>
    <w:rsid w:val="63C776A4"/>
    <w:rsid w:val="63D41FBE"/>
    <w:rsid w:val="63D70DF0"/>
    <w:rsid w:val="63E94592"/>
    <w:rsid w:val="63EF7D33"/>
    <w:rsid w:val="64530C68"/>
    <w:rsid w:val="64561191"/>
    <w:rsid w:val="6472739A"/>
    <w:rsid w:val="64783770"/>
    <w:rsid w:val="6483791E"/>
    <w:rsid w:val="648D38CF"/>
    <w:rsid w:val="64BE730A"/>
    <w:rsid w:val="64C319A4"/>
    <w:rsid w:val="64CB664F"/>
    <w:rsid w:val="65750EF0"/>
    <w:rsid w:val="6578278E"/>
    <w:rsid w:val="659B4A48"/>
    <w:rsid w:val="659B647C"/>
    <w:rsid w:val="65A16E78"/>
    <w:rsid w:val="65AA6E57"/>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1F5D92"/>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156FD3"/>
    <w:rsid w:val="6A2A36A6"/>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140FEE"/>
    <w:rsid w:val="6D6825DF"/>
    <w:rsid w:val="6D8D644D"/>
    <w:rsid w:val="6DB90499"/>
    <w:rsid w:val="6DC742B3"/>
    <w:rsid w:val="6DDC027E"/>
    <w:rsid w:val="6DDE33AA"/>
    <w:rsid w:val="6DE9315A"/>
    <w:rsid w:val="6DEA79AF"/>
    <w:rsid w:val="6DF51A12"/>
    <w:rsid w:val="6E31797E"/>
    <w:rsid w:val="6E3B2C19"/>
    <w:rsid w:val="6E535B46"/>
    <w:rsid w:val="6EEA46FD"/>
    <w:rsid w:val="6EFD7CFF"/>
    <w:rsid w:val="6F0F4163"/>
    <w:rsid w:val="6F2A1881"/>
    <w:rsid w:val="6F2C44FC"/>
    <w:rsid w:val="6F477AF3"/>
    <w:rsid w:val="6FA3330D"/>
    <w:rsid w:val="6FCD2479"/>
    <w:rsid w:val="6FD13561"/>
    <w:rsid w:val="6FEA4288"/>
    <w:rsid w:val="70643D6C"/>
    <w:rsid w:val="706F343A"/>
    <w:rsid w:val="70741C73"/>
    <w:rsid w:val="70B12840"/>
    <w:rsid w:val="70C154D4"/>
    <w:rsid w:val="70D2369A"/>
    <w:rsid w:val="70D53553"/>
    <w:rsid w:val="70EE5FFA"/>
    <w:rsid w:val="70F250FA"/>
    <w:rsid w:val="714D2D21"/>
    <w:rsid w:val="71575410"/>
    <w:rsid w:val="7157594D"/>
    <w:rsid w:val="71663DE2"/>
    <w:rsid w:val="718129CA"/>
    <w:rsid w:val="71A52D40"/>
    <w:rsid w:val="71A62431"/>
    <w:rsid w:val="71D01493"/>
    <w:rsid w:val="71D13952"/>
    <w:rsid w:val="722B0B6F"/>
    <w:rsid w:val="723809FA"/>
    <w:rsid w:val="724461BD"/>
    <w:rsid w:val="72737630"/>
    <w:rsid w:val="72A058EB"/>
    <w:rsid w:val="72A9042B"/>
    <w:rsid w:val="72BA3161"/>
    <w:rsid w:val="730E1E7E"/>
    <w:rsid w:val="732612AC"/>
    <w:rsid w:val="736D6EE8"/>
    <w:rsid w:val="7389329F"/>
    <w:rsid w:val="739E7864"/>
    <w:rsid w:val="73C208AB"/>
    <w:rsid w:val="73E24B69"/>
    <w:rsid w:val="73F2211E"/>
    <w:rsid w:val="74385FAF"/>
    <w:rsid w:val="74C774D2"/>
    <w:rsid w:val="74CF1C9F"/>
    <w:rsid w:val="74F40210"/>
    <w:rsid w:val="75083F0D"/>
    <w:rsid w:val="75086ADE"/>
    <w:rsid w:val="75370412"/>
    <w:rsid w:val="754F1272"/>
    <w:rsid w:val="75661F23"/>
    <w:rsid w:val="758D672D"/>
    <w:rsid w:val="75C153E8"/>
    <w:rsid w:val="75F57091"/>
    <w:rsid w:val="75FE5772"/>
    <w:rsid w:val="76045978"/>
    <w:rsid w:val="76084AC6"/>
    <w:rsid w:val="761F7088"/>
    <w:rsid w:val="76373F9F"/>
    <w:rsid w:val="76562678"/>
    <w:rsid w:val="76782096"/>
    <w:rsid w:val="769A5A66"/>
    <w:rsid w:val="76AA29C3"/>
    <w:rsid w:val="76CF260B"/>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41239"/>
    <w:rsid w:val="7D3C24FE"/>
    <w:rsid w:val="7D4B7D6D"/>
    <w:rsid w:val="7D690EE2"/>
    <w:rsid w:val="7D7819CC"/>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7739</Words>
  <Characters>8594</Characters>
  <Lines>101</Lines>
  <Paragraphs>28</Paragraphs>
  <TotalTime>6</TotalTime>
  <ScaleCrop>false</ScaleCrop>
  <LinksUpToDate>false</LinksUpToDate>
  <CharactersWithSpaces>8737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2026-07-06T08:45:13Z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