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304"/>
      <w:bookmarkStart w:id="1" w:name="_Toc10059"/>
      <w:bookmarkStart w:id="2" w:name="_Toc13868"/>
      <w:bookmarkStart w:id="3" w:name="_Toc76373863"/>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8264"/>
      <w:bookmarkStart w:id="8" w:name="_Toc5909"/>
      <w:bookmarkStart w:id="9" w:name="_Toc15376"/>
      <w:bookmarkStart w:id="10" w:name="_Toc76373864"/>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7ACE77FF">
      <w:pPr>
        <w:widowControl/>
        <w:spacing w:line="400" w:lineRule="exact"/>
        <w:ind w:firstLine="480" w:firstLineChars="200"/>
        <w:rPr>
          <w:rFonts w:hint="eastAsia" w:ascii="Times New Roman" w:hAnsi="Times New Roman" w:eastAsia="宋体" w:cs="Times New Roman"/>
          <w:color w:val="000000"/>
          <w:sz w:val="24"/>
          <w:szCs w:val="24"/>
          <w:lang w:val="en-US" w:eastAsia="zh-CN"/>
        </w:rPr>
      </w:pPr>
      <w:bookmarkStart w:id="14" w:name="_Toc76373865"/>
      <w:bookmarkStart w:id="15" w:name="_Toc5838"/>
      <w:bookmarkStart w:id="16" w:name="_Toc22129"/>
      <w:bookmarkStart w:id="17" w:name="_Toc22707"/>
      <w:bookmarkStart w:id="18" w:name="_Toc18060"/>
      <w:r>
        <w:rPr>
          <w:rFonts w:hint="eastAsia" w:ascii="宋体" w:hAnsi="宋体" w:cs="宋体"/>
          <w:color w:val="000000"/>
          <w:sz w:val="24"/>
          <w:szCs w:val="24"/>
        </w:rPr>
        <w:t>项目名称：</w:t>
      </w:r>
      <w:r>
        <w:rPr>
          <w:rFonts w:hint="eastAsia" w:ascii="Times New Roman" w:hAnsi="Times New Roman" w:eastAsia="宋体" w:cs="Times New Roman"/>
          <w:color w:val="000000"/>
          <w:sz w:val="24"/>
          <w:szCs w:val="24"/>
          <w:lang w:val="en-US" w:eastAsia="zh-CN"/>
        </w:rPr>
        <w:t>颈椎前路钢板固定系统/椎间融合器</w:t>
      </w:r>
    </w:p>
    <w:p w14:paraId="4FEDEDF0">
      <w:pPr>
        <w:widowControl/>
        <w:spacing w:line="400" w:lineRule="exact"/>
        <w:ind w:firstLine="480" w:firstLineChars="200"/>
        <w:rPr>
          <w:rFonts w:hint="eastAsia" w:ascii="宋体" w:hAnsi="宋体" w:eastAsia="宋体" w:cs="宋体"/>
          <w:color w:val="000000"/>
          <w:sz w:val="24"/>
          <w:szCs w:val="24"/>
          <w:lang w:eastAsia="zh-CN"/>
        </w:rPr>
      </w:pPr>
      <w:r>
        <w:rPr>
          <w:rFonts w:hint="eastAsia" w:ascii="宋体" w:hAnsi="宋体" w:cs="宋体"/>
          <w:color w:val="000000"/>
          <w:sz w:val="24"/>
          <w:szCs w:val="24"/>
        </w:rPr>
        <w:t>采购方式：公开</w:t>
      </w:r>
      <w:r>
        <w:rPr>
          <w:rFonts w:hint="eastAsia" w:ascii="宋体" w:hAnsi="宋体" w:cs="宋体"/>
          <w:color w:val="000000"/>
          <w:sz w:val="24"/>
          <w:szCs w:val="24"/>
          <w:lang w:val="en-US" w:eastAsia="zh-CN"/>
        </w:rPr>
        <w:t>比选</w:t>
      </w:r>
    </w:p>
    <w:p w14:paraId="0E7F0271">
      <w:pPr>
        <w:widowControl/>
        <w:spacing w:line="400" w:lineRule="exact"/>
        <w:ind w:firstLine="480" w:firstLineChars="200"/>
        <w:rPr>
          <w:rFonts w:ascii="宋体" w:hAnsi="宋体" w:cs="宋体"/>
          <w:color w:val="000000"/>
          <w:sz w:val="24"/>
          <w:szCs w:val="24"/>
        </w:rPr>
      </w:pPr>
      <w:r>
        <w:rPr>
          <w:rFonts w:hint="eastAsia" w:ascii="宋体" w:hAnsi="宋体" w:cs="宋体"/>
          <w:color w:val="000000"/>
          <w:sz w:val="24"/>
          <w:szCs w:val="24"/>
        </w:rPr>
        <w:t>评价方式：</w:t>
      </w:r>
      <w:r>
        <w:rPr>
          <w:rFonts w:hint="eastAsia" w:ascii="宋体" w:hAnsi="宋体" w:cs="宋体"/>
          <w:color w:val="000000"/>
          <w:sz w:val="24"/>
          <w:szCs w:val="24"/>
          <w:lang w:val="en-US" w:eastAsia="zh-CN"/>
        </w:rPr>
        <w:t>最低价</w:t>
      </w:r>
      <w:r>
        <w:rPr>
          <w:rFonts w:hint="eastAsia" w:ascii="宋体" w:hAnsi="宋体" w:cs="宋体"/>
          <w:color w:val="000000"/>
          <w:sz w:val="24"/>
          <w:szCs w:val="24"/>
        </w:rPr>
        <w:t>法</w:t>
      </w:r>
      <w:permStart w:id="1" w:edGrp="everyone"/>
      <w:permEnd w:id="1"/>
    </w:p>
    <w:p w14:paraId="60055559">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报价方式：可二次报价</w:t>
      </w:r>
    </w:p>
    <w:p w14:paraId="2D92986E">
      <w:pPr>
        <w:widowControl/>
        <w:spacing w:line="400" w:lineRule="exact"/>
        <w:ind w:firstLine="480" w:firstLineChars="200"/>
        <w:rPr>
          <w:rFonts w:hint="eastAsia" w:ascii="宋体" w:hAnsi="宋体" w:cs="宋体"/>
          <w:color w:val="000000"/>
          <w:sz w:val="24"/>
          <w:szCs w:val="24"/>
        </w:rPr>
      </w:pPr>
      <w:r>
        <w:rPr>
          <w:rFonts w:hint="eastAsia" w:ascii="宋体" w:hAnsi="宋体" w:cs="宋体"/>
          <w:color w:val="000000"/>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456"/>
        <w:gridCol w:w="1327"/>
        <w:gridCol w:w="1594"/>
        <w:gridCol w:w="1594"/>
      </w:tblGrid>
      <w:tr w14:paraId="1B666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66C0966">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lang w:val="en-US" w:eastAsia="zh-CN"/>
              </w:rPr>
            </w:pPr>
            <w:r>
              <w:rPr>
                <w:rFonts w:hint="default" w:ascii="Times New Roman" w:hAnsi="Times New Roman" w:eastAsia="宋体" w:cs="Times New Roman"/>
                <w:color w:val="000000"/>
                <w:kern w:val="2"/>
                <w:szCs w:val="24"/>
                <w:lang w:val="en-US" w:eastAsia="zh-CN"/>
              </w:rPr>
              <w:t>包号</w:t>
            </w:r>
          </w:p>
        </w:tc>
        <w:tc>
          <w:tcPr>
            <w:tcW w:w="2456" w:type="dxa"/>
            <w:noWrap w:val="0"/>
            <w:vAlign w:val="center"/>
          </w:tcPr>
          <w:p w14:paraId="0BB9E215">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Cs w:val="24"/>
              </w:rPr>
            </w:pPr>
            <w:r>
              <w:rPr>
                <w:rFonts w:hint="default" w:ascii="Times New Roman" w:hAnsi="Times New Roman" w:eastAsia="宋体" w:cs="Times New Roman"/>
                <w:color w:val="000000"/>
                <w:kern w:val="2"/>
                <w:szCs w:val="24"/>
              </w:rPr>
              <w:t>名称</w:t>
            </w:r>
          </w:p>
        </w:tc>
        <w:tc>
          <w:tcPr>
            <w:tcW w:w="1327" w:type="dxa"/>
            <w:noWrap w:val="0"/>
            <w:vAlign w:val="center"/>
          </w:tcPr>
          <w:p w14:paraId="5612CA6B">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采购数量</w:t>
            </w:r>
          </w:p>
        </w:tc>
        <w:tc>
          <w:tcPr>
            <w:tcW w:w="1594" w:type="dxa"/>
            <w:noWrap w:val="0"/>
            <w:vAlign w:val="center"/>
          </w:tcPr>
          <w:p w14:paraId="0FF6F4D8">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Cs w:val="24"/>
              </w:rPr>
              <w:t>成交供应商</w:t>
            </w:r>
            <w:r>
              <w:rPr>
                <w:rFonts w:hint="default" w:ascii="Times New Roman" w:hAnsi="Times New Roman" w:eastAsia="宋体" w:cs="Times New Roman"/>
                <w:color w:val="000000"/>
                <w:kern w:val="2"/>
                <w:szCs w:val="24"/>
                <w:lang w:val="en-US" w:eastAsia="zh-CN"/>
              </w:rPr>
              <w:t>/品牌</w:t>
            </w:r>
            <w:r>
              <w:rPr>
                <w:rFonts w:hint="default" w:ascii="Times New Roman" w:hAnsi="Times New Roman" w:eastAsia="宋体" w:cs="Times New Roman"/>
                <w:color w:val="000000"/>
                <w:kern w:val="2"/>
                <w:szCs w:val="24"/>
              </w:rPr>
              <w:t>(个）</w:t>
            </w:r>
          </w:p>
        </w:tc>
        <w:tc>
          <w:tcPr>
            <w:tcW w:w="1594" w:type="dxa"/>
            <w:noWrap w:val="0"/>
            <w:vAlign w:val="center"/>
          </w:tcPr>
          <w:p w14:paraId="48499283">
            <w:pPr>
              <w:pStyle w:val="52"/>
              <w:spacing w:before="120" w:beforeLines="50" w:beforeAutospacing="0" w:after="0" w:afterAutospacing="0" w:line="400" w:lineRule="exact"/>
              <w:jc w:val="center"/>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eastAsia="宋体" w:cs="Times New Roman"/>
                <w:color w:val="000000"/>
                <w:kern w:val="2"/>
                <w:sz w:val="24"/>
                <w:szCs w:val="24"/>
                <w:lang w:val="en-US" w:eastAsia="zh-CN" w:bidi="ar-SA"/>
              </w:rPr>
              <w:t>需求科室</w:t>
            </w:r>
          </w:p>
        </w:tc>
      </w:tr>
      <w:tr w14:paraId="4F7D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87" w:type="dxa"/>
            <w:noWrap w:val="0"/>
            <w:vAlign w:val="center"/>
          </w:tcPr>
          <w:p w14:paraId="56A97551">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包一</w:t>
            </w:r>
          </w:p>
        </w:tc>
        <w:tc>
          <w:tcPr>
            <w:tcW w:w="2456" w:type="dxa"/>
            <w:noWrap w:val="0"/>
            <w:vAlign w:val="center"/>
          </w:tcPr>
          <w:p w14:paraId="0B2BC09A">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颈椎前路钢板固定系统/椎间融合器</w:t>
            </w:r>
          </w:p>
        </w:tc>
        <w:tc>
          <w:tcPr>
            <w:tcW w:w="1327" w:type="dxa"/>
            <w:noWrap w:val="0"/>
            <w:vAlign w:val="center"/>
          </w:tcPr>
          <w:p w14:paraId="7D71A51C">
            <w:pPr>
              <w:widowControl/>
              <w:spacing w:line="400" w:lineRule="exact"/>
              <w:jc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按实结算</w:t>
            </w:r>
          </w:p>
        </w:tc>
        <w:tc>
          <w:tcPr>
            <w:tcW w:w="1594" w:type="dxa"/>
            <w:noWrap w:val="0"/>
            <w:vAlign w:val="center"/>
          </w:tcPr>
          <w:p w14:paraId="2A27F8E6">
            <w:pPr>
              <w:widowControl/>
              <w:spacing w:line="40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1</w:t>
            </w:r>
          </w:p>
        </w:tc>
        <w:tc>
          <w:tcPr>
            <w:tcW w:w="1594" w:type="dxa"/>
            <w:noWrap w:val="0"/>
            <w:vAlign w:val="center"/>
          </w:tcPr>
          <w:p w14:paraId="3EDDAD55">
            <w:pPr>
              <w:widowControl/>
              <w:spacing w:line="400" w:lineRule="exact"/>
              <w:jc w:val="center"/>
              <w:rPr>
                <w:rFonts w:hint="default" w:ascii="Times New Roman" w:hAnsi="Times New Roman" w:eastAsia="宋体" w:cs="Times New Roman"/>
                <w:color w:val="000000"/>
                <w:sz w:val="24"/>
                <w:szCs w:val="24"/>
                <w:lang w:val="en-US" w:eastAsia="zh-CN"/>
              </w:rPr>
            </w:pPr>
            <w:r>
              <w:rPr>
                <w:rFonts w:hint="eastAsia" w:ascii="Times New Roman" w:hAnsi="Times New Roman" w:eastAsia="宋体" w:cs="Times New Roman"/>
                <w:color w:val="000000"/>
                <w:sz w:val="24"/>
                <w:szCs w:val="24"/>
                <w:lang w:val="en-US" w:eastAsia="zh-CN"/>
              </w:rPr>
              <w:t>骨科三（脊柱）</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10137"/>
      <w:bookmarkStart w:id="20" w:name="_Toc26504"/>
      <w:bookmarkStart w:id="21" w:name="_Toc30358"/>
      <w:bookmarkStart w:id="22" w:name="_Toc25496"/>
      <w:bookmarkStart w:id="23" w:name="_Toc3434"/>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骨科三（脊柱）</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骨科三（脊柱）</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骨科三（脊柱）</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骨科三（脊柱）</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25272"/>
      <w:bookmarkStart w:id="40" w:name="_Toc4033"/>
      <w:bookmarkStart w:id="41" w:name="_Toc76373872"/>
      <w:bookmarkStart w:id="42" w:name="_Toc14224"/>
      <w:bookmarkStart w:id="43" w:name="_Toc9714"/>
      <w:bookmarkStart w:id="44" w:name="_Toc20138"/>
      <w:bookmarkStart w:id="45" w:name="_Toc21905"/>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3153"/>
      <w:bookmarkStart w:id="49" w:name="_Toc2599"/>
      <w:bookmarkStart w:id="50" w:name="_Toc11474"/>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6355"/>
      <w:bookmarkStart w:id="55" w:name="_Toc30465"/>
      <w:bookmarkStart w:id="56" w:name="_Toc29225"/>
      <w:bookmarkStart w:id="57" w:name="_Toc76373876"/>
      <w:bookmarkStart w:id="58" w:name="_Toc29620"/>
      <w:bookmarkStart w:id="59" w:name="_Toc1955"/>
      <w:bookmarkStart w:id="60" w:name="_Toc13107"/>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3E543319">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功能：</w:t>
      </w:r>
    </w:p>
    <w:p w14:paraId="77903E8E">
      <w:pPr>
        <w:pStyle w:val="2"/>
        <w:numPr>
          <w:ilvl w:val="0"/>
          <w:numId w:val="0"/>
        </w:numPr>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eastAsia" w:ascii="Times New Roman" w:hAnsi="Times New Roman" w:eastAsia="宋体" w:cs="Times New Roman"/>
          <w:sz w:val="24"/>
          <w:szCs w:val="24"/>
          <w:lang w:val="en-US" w:eastAsia="zh-CN"/>
        </w:rPr>
        <w:t>可应用于ACAF、ACDF、ACCF术式；</w:t>
      </w:r>
    </w:p>
    <w:p w14:paraId="3EEB36B9">
      <w:pPr>
        <w:pStyle w:val="2"/>
        <w:numPr>
          <w:ilvl w:val="0"/>
          <w:numId w:val="0"/>
        </w:numPr>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kern w:val="2"/>
          <w:sz w:val="24"/>
          <w:szCs w:val="24"/>
          <w:lang w:val="en-US" w:eastAsia="zh-CN" w:bidi="ar-SA"/>
        </w:rPr>
        <w:t>2、</w:t>
      </w:r>
      <w:r>
        <w:rPr>
          <w:rFonts w:hint="eastAsia" w:ascii="Times New Roman" w:hAnsi="Times New Roman" w:eastAsia="宋体" w:cs="Times New Roman"/>
          <w:sz w:val="24"/>
          <w:szCs w:val="24"/>
          <w:lang w:val="en-US" w:eastAsia="zh-CN"/>
        </w:rPr>
        <w:t>钛板解剖型预弯，更加符合患者颈椎生理前屈，更好恢复患者的颈前生理曲度；</w:t>
      </w:r>
    </w:p>
    <w:p w14:paraId="224744B3">
      <w:pPr>
        <w:pStyle w:val="2"/>
        <w:numPr>
          <w:ilvl w:val="0"/>
          <w:numId w:val="0"/>
        </w:numPr>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3、中央提拉槽设：提拉位置居中，有效防止椎体发生旋转；螺纹式提拉钉设计，提拉过程稳定且细腻；提供可控提拉复位工具；</w:t>
      </w:r>
    </w:p>
    <w:p w14:paraId="545AB840">
      <w:pPr>
        <w:pStyle w:val="2"/>
        <w:numPr>
          <w:ilvl w:val="0"/>
          <w:numId w:val="0"/>
        </w:numPr>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4、提供ACAF专用融合器：可通过钛板观察窗植入融合器，术中可实现加压；融合器两侧防退设计，防止融合器退出；Peek材料，具有良好的生物相容；</w:t>
      </w:r>
    </w:p>
    <w:p w14:paraId="5C9FF740">
      <w:pPr>
        <w:pStyle w:val="2"/>
        <w:numPr>
          <w:ilvl w:val="0"/>
          <w:numId w:val="0"/>
        </w:numPr>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5、超大观察窗方便术中植入融合器，术后观察植骨融合效果。</w:t>
      </w:r>
    </w:p>
    <w:p w14:paraId="3A0D8CC4">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参数：</w:t>
      </w:r>
    </w:p>
    <w:p w14:paraId="1A3F0ABA">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1、板长度20-110mm 厚度包括但不限于2.5mm、3.0mm等，宽度包括但不限于16.5mm等，孔数有多个选择，如4.6.8.10.12.14孔；</w:t>
      </w:r>
    </w:p>
    <w:p w14:paraId="522B1815">
      <w:pPr>
        <w:pStyle w:val="2"/>
        <w:ind w:firstLine="240" w:firstLineChars="1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2、钉子直径包括但不限于3.5mm、4.0mm、4.35mm、4.5mm等，长度10-20mm；</w:t>
      </w:r>
    </w:p>
    <w:p w14:paraId="5561A45D">
      <w:pPr>
        <w:pStyle w:val="2"/>
        <w:ind w:firstLine="240" w:firstLineChars="100"/>
        <w:rPr>
          <w:rFonts w:hint="eastAsia" w:ascii="宋体" w:hAnsi="宋体" w:cs="宋体"/>
          <w:b w:val="0"/>
          <w:bCs w:val="0"/>
          <w:color w:val="auto"/>
          <w:sz w:val="24"/>
          <w:szCs w:val="24"/>
          <w:lang w:val="en-US" w:eastAsia="zh-CN"/>
        </w:rPr>
      </w:pPr>
      <w:r>
        <w:rPr>
          <w:rFonts w:hint="eastAsia" w:ascii="Times New Roman" w:hAnsi="Times New Roman" w:eastAsia="宋体" w:cs="Times New Roman"/>
          <w:sz w:val="24"/>
          <w:szCs w:val="24"/>
          <w:lang w:val="en-US" w:eastAsia="zh-CN"/>
        </w:rPr>
        <w:t>3、融合器高度4-25mm，长度10-20mm，宽度10-20mm</w:t>
      </w:r>
      <w:r>
        <w:rPr>
          <w:rFonts w:hint="eastAsia" w:ascii="宋体" w:hAnsi="宋体" w:cs="宋体"/>
          <w:b w:val="0"/>
          <w:bCs w:val="0"/>
          <w:color w:val="auto"/>
          <w:sz w:val="24"/>
          <w:szCs w:val="24"/>
          <w:lang w:val="en-US" w:eastAsia="zh-CN"/>
        </w:rPr>
        <w:t>。</w:t>
      </w:r>
      <w:bookmarkStart w:id="192" w:name="_GoBack"/>
      <w:bookmarkEnd w:id="192"/>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1768"/>
      <w:bookmarkStart w:id="63" w:name="_Toc17524"/>
      <w:bookmarkStart w:id="64" w:name="_Toc2072"/>
      <w:bookmarkStart w:id="65" w:name="_Toc31843"/>
      <w:bookmarkStart w:id="66" w:name="_Toc76373878"/>
      <w:bookmarkStart w:id="67" w:name="_Toc15650"/>
      <w:bookmarkStart w:id="68" w:name="_Toc24122"/>
      <w:bookmarkStart w:id="69" w:name="_Toc17944"/>
      <w:bookmarkStart w:id="70" w:name="_Toc4791"/>
      <w:bookmarkStart w:id="71" w:name="_Toc779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9339"/>
      <w:bookmarkStart w:id="75" w:name="_Toc76373879"/>
      <w:bookmarkStart w:id="76" w:name="_Toc22561"/>
      <w:bookmarkStart w:id="77" w:name="_Toc5959"/>
      <w:bookmarkStart w:id="78" w:name="_Toc29836"/>
      <w:bookmarkStart w:id="79" w:name="_Toc14311"/>
      <w:bookmarkStart w:id="80" w:name="_Toc16908"/>
      <w:bookmarkStart w:id="81" w:name="_Toc28942"/>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263"/>
      <w:bookmarkStart w:id="84" w:name="_Toc12384"/>
      <w:bookmarkStart w:id="85" w:name="_Toc27893"/>
      <w:bookmarkStart w:id="86" w:name="_Toc27737"/>
      <w:bookmarkStart w:id="87" w:name="_Toc76373885"/>
      <w:bookmarkStart w:id="88" w:name="_Toc2258"/>
      <w:bookmarkStart w:id="89" w:name="_Toc20772"/>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28189"/>
      <w:bookmarkStart w:id="92" w:name="_Toc12712"/>
      <w:bookmarkStart w:id="93" w:name="_Toc76373886"/>
      <w:bookmarkStart w:id="94" w:name="_Toc23699"/>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9147"/>
      <w:bookmarkStart w:id="98" w:name="_Toc31293"/>
      <w:bookmarkStart w:id="99" w:name="_Toc5535"/>
      <w:bookmarkStart w:id="100" w:name="_Toc76373887"/>
      <w:bookmarkStart w:id="101" w:name="_Toc13585"/>
      <w:bookmarkStart w:id="102" w:name="_Toc19809"/>
      <w:bookmarkStart w:id="103" w:name="_Toc26754"/>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16925"/>
      <w:bookmarkStart w:id="106" w:name="_Toc8546"/>
      <w:bookmarkStart w:id="107" w:name="_Toc76373889"/>
      <w:bookmarkStart w:id="108" w:name="_Toc5251"/>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11654"/>
      <w:bookmarkStart w:id="114" w:name="_Toc27443"/>
      <w:bookmarkStart w:id="115" w:name="_Toc76373890"/>
      <w:bookmarkStart w:id="116" w:name="_Toc26071"/>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5199"/>
      <w:bookmarkStart w:id="120" w:name="_Toc20391"/>
      <w:bookmarkStart w:id="121" w:name="_Toc76373891"/>
      <w:bookmarkStart w:id="122" w:name="_Toc10864"/>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0762"/>
      <w:bookmarkStart w:id="132" w:name="_Toc10152"/>
      <w:bookmarkStart w:id="133" w:name="_Toc19409"/>
      <w:bookmarkStart w:id="134" w:name="_Toc2975"/>
      <w:bookmarkStart w:id="135" w:name="_Toc76373904"/>
      <w:bookmarkStart w:id="136" w:name="_Toc24088"/>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25920"/>
      <w:bookmarkStart w:id="138" w:name="_Toc11892"/>
      <w:bookmarkStart w:id="139" w:name="_Toc11763"/>
      <w:bookmarkStart w:id="140" w:name="_Toc7750"/>
      <w:bookmarkStart w:id="141" w:name="_Toc76373907"/>
      <w:bookmarkStart w:id="142" w:name="_Toc16112"/>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_Toc15483"/>
      <w:bookmarkStart w:id="156" w:name="OLE_LINK6"/>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1431"/>
      <w:bookmarkStart w:id="166" w:name="_Toc21830"/>
      <w:bookmarkStart w:id="167" w:name="_Toc76373909"/>
      <w:bookmarkStart w:id="168" w:name="_Toc9795"/>
      <w:bookmarkStart w:id="169" w:name="_Toc27306"/>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2647"/>
      <w:bookmarkStart w:id="174" w:name="_Toc76373910"/>
      <w:bookmarkStart w:id="175" w:name="_Toc492721039"/>
      <w:bookmarkStart w:id="176" w:name="_Toc20875"/>
      <w:bookmarkStart w:id="177" w:name="_Toc16487"/>
      <w:bookmarkStart w:id="178" w:name="_Toc411"/>
      <w:bookmarkStart w:id="179" w:name="_Toc493178791"/>
      <w:bookmarkStart w:id="180" w:name="_Toc20258"/>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20605"/>
      <w:bookmarkStart w:id="183" w:name="_Toc19291"/>
      <w:bookmarkStart w:id="184" w:name="_Toc16151"/>
      <w:bookmarkStart w:id="185" w:name="_Toc492721038"/>
      <w:bookmarkStart w:id="186" w:name="_Toc76373912"/>
      <w:bookmarkStart w:id="187" w:name="_Toc4250"/>
      <w:bookmarkStart w:id="188" w:name="_Toc493178793"/>
      <w:bookmarkStart w:id="189" w:name="_Toc6217"/>
      <w:bookmarkStart w:id="190" w:name="_Toc892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58952F-DF46-46BC-810F-49514ACC691A}"/>
  </w:font>
  <w:font w:name="黑体">
    <w:panose1 w:val="02010609060101010101"/>
    <w:charset w:val="86"/>
    <w:family w:val="auto"/>
    <w:pitch w:val="default"/>
    <w:sig w:usb0="800002BF" w:usb1="38CF7CFA" w:usb2="00000016" w:usb3="00000000" w:csb0="00040001" w:csb1="00000000"/>
    <w:embedRegular r:id="rId2" w:fontKey="{82EDD303-ABD7-451C-9F2D-6CE1ECD44E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BD7DA5FD-AF5F-4B3B-9CAB-E7AE763200C9}"/>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E53F21FB-D3CA-4105-A830-C95FA0B3B38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36B701B6-B20F-498E-9768-E1A652CB06A4}"/>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06A1B140-8159-49C4-BE78-D7AE43360922}"/>
  </w:font>
  <w:font w:name="方正黑体_GBK">
    <w:panose1 w:val="03000509000000000000"/>
    <w:charset w:val="86"/>
    <w:family w:val="script"/>
    <w:pitch w:val="default"/>
    <w:sig w:usb0="00000001" w:usb1="080E0000" w:usb2="00000000" w:usb3="00000000" w:csb0="00040000" w:csb1="00000000"/>
    <w:embedRegular r:id="rId7" w:fontKey="{31029DC7-FD26-4AED-BB76-4ACDF6527647}"/>
  </w:font>
  <w:font w:name="方正小标宋_GBK">
    <w:panose1 w:val="03000509000000000000"/>
    <w:charset w:val="86"/>
    <w:family w:val="script"/>
    <w:pitch w:val="default"/>
    <w:sig w:usb0="00000001" w:usb1="080E0000" w:usb2="00000000" w:usb3="00000000" w:csb0="00040000" w:csb1="00000000"/>
    <w:embedRegular r:id="rId8" w:fontKey="{59494975-A710-4E47-A205-E7A60AF911D2}"/>
  </w:font>
  <w:font w:name="微软雅黑">
    <w:panose1 w:val="020B0503020204020204"/>
    <w:charset w:val="86"/>
    <w:family w:val="swiss"/>
    <w:pitch w:val="default"/>
    <w:sig w:usb0="80000287" w:usb1="2ACF3C50" w:usb2="00000016" w:usb3="00000000" w:csb0="0004001F" w:csb1="00000000"/>
    <w:embedRegular r:id="rId9" w:fontKey="{268CF3E2-5BFE-4598-A23B-E4D0E3A1EBCF}"/>
  </w:font>
  <w:font w:name="仿宋">
    <w:panose1 w:val="02010609060101010101"/>
    <w:charset w:val="86"/>
    <w:family w:val="modern"/>
    <w:pitch w:val="default"/>
    <w:sig w:usb0="800002BF" w:usb1="38CF7CFA" w:usb2="00000016" w:usb3="00000000" w:csb0="00040001" w:csb1="00000000"/>
    <w:embedRegular r:id="rId10" w:fontKey="{248DF575-1729-4D4B-840D-E2EC3EE877BC}"/>
  </w:font>
  <w:font w:name="WPSEMBED138">
    <w:panose1 w:val="03000509000000000000"/>
    <w:charset w:val="86"/>
    <w:family w:val="auto"/>
    <w:pitch w:val="default"/>
    <w:sig w:usb0="00000001" w:usb1="080E0000" w:usb2="00000000" w:usb3="00000000" w:csb0="00040000" w:csb1="00000000"/>
  </w:font>
  <w:font w:name="WPSEMBED139">
    <w:panose1 w:val="03000509000000000000"/>
    <w:charset w:val="86"/>
    <w:family w:val="auto"/>
    <w:pitch w:val="default"/>
    <w:sig w:usb0="00000001" w:usb1="080E0000" w:usb2="00000000" w:usb3="00000000" w:csb0="00040000" w:csb1="00000000"/>
  </w:font>
  <w:font w:name="WPSEMBED136">
    <w:panose1 w:val="02010609030101010101"/>
    <w:charset w:val="86"/>
    <w:family w:val="auto"/>
    <w:pitch w:val="default"/>
    <w:sig w:usb0="00000001" w:usb1="080E0000" w:usb2="00000000" w:usb3="00000000" w:csb0="00040000" w:csb1="00000000"/>
  </w:font>
  <w:font w:name="WPSEMBED140">
    <w:panose1 w:val="03000509000000000000"/>
    <w:charset w:val="86"/>
    <w:family w:val="auto"/>
    <w:pitch w:val="default"/>
    <w:sig w:usb0="00000001" w:usb1="080E0000" w:usb2="00000000" w:usb3="00000000" w:csb0="00040000" w:csb1="00000000"/>
  </w:font>
  <w:font w:name="WPSEMBED13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03B28"/>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6503</Words>
  <Characters>6644</Characters>
  <Lines>101</Lines>
  <Paragraphs>28</Paragraphs>
  <TotalTime>0</TotalTime>
  <ScaleCrop>false</ScaleCrop>
  <LinksUpToDate>false</LinksUpToDate>
  <CharactersWithSpaces>7348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2026-07-07T04:24:35Z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