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304"/>
      <w:bookmarkStart w:id="2" w:name="_Toc10059"/>
      <w:bookmarkStart w:id="3" w:name="_Toc13868"/>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28264"/>
      <w:bookmarkStart w:id="9" w:name="_Toc5909"/>
      <w:bookmarkStart w:id="10" w:name="_Toc15376"/>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180C5072">
      <w:pPr>
        <w:widowControl/>
        <w:spacing w:line="400" w:lineRule="exact"/>
        <w:ind w:firstLine="480" w:firstLineChars="200"/>
        <w:rPr>
          <w:rFonts w:hint="eastAsia" w:ascii="Times New Roman" w:hAnsi="Times New Roman" w:eastAsia="宋体" w:cs="Times New Roman"/>
          <w:color w:val="000000"/>
          <w:sz w:val="24"/>
          <w:szCs w:val="24"/>
          <w:lang w:val="en-US" w:eastAsia="zh-CN"/>
        </w:rPr>
      </w:pPr>
      <w:bookmarkStart w:id="14" w:name="_Toc76373865"/>
      <w:bookmarkStart w:id="15" w:name="_Toc22129"/>
      <w:bookmarkStart w:id="16" w:name="_Toc18060"/>
      <w:bookmarkStart w:id="17" w:name="_Toc22707"/>
      <w:bookmarkStart w:id="18" w:name="_Toc5838"/>
      <w:r>
        <w:rPr>
          <w:rFonts w:hint="eastAsia" w:ascii="宋体" w:hAnsi="宋体" w:cs="宋体"/>
          <w:color w:val="000000"/>
          <w:sz w:val="24"/>
          <w:szCs w:val="24"/>
        </w:rPr>
        <w:t>项目名称：</w:t>
      </w:r>
      <w:r>
        <w:rPr>
          <w:rFonts w:hint="eastAsia" w:ascii="Times New Roman" w:hAnsi="Times New Roman" w:eastAsia="宋体" w:cs="Times New Roman"/>
          <w:color w:val="000000"/>
          <w:sz w:val="24"/>
          <w:szCs w:val="24"/>
          <w:lang w:val="en-US" w:eastAsia="zh-CN"/>
        </w:rPr>
        <w:t>膝关节假体-胫骨平台垫、膝关节假体-股骨（胫骨）柄</w:t>
      </w:r>
    </w:p>
    <w:p w14:paraId="673FC670">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rPr>
        <w:t>采购方式：公开</w:t>
      </w:r>
      <w:r>
        <w:rPr>
          <w:rFonts w:hint="eastAsia" w:ascii="宋体" w:hAnsi="宋体" w:cs="宋体"/>
          <w:color w:val="000000"/>
          <w:sz w:val="24"/>
          <w:szCs w:val="24"/>
          <w:lang w:val="en-US" w:eastAsia="zh-CN"/>
        </w:rPr>
        <w:t>比选</w:t>
      </w:r>
    </w:p>
    <w:p w14:paraId="67F185ED">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评价方式：</w:t>
      </w:r>
      <w:r>
        <w:rPr>
          <w:rFonts w:hint="eastAsia" w:ascii="宋体" w:hAnsi="宋体" w:cs="宋体"/>
          <w:color w:val="000000"/>
          <w:sz w:val="24"/>
          <w:szCs w:val="24"/>
          <w:lang w:val="en-US" w:eastAsia="zh-CN"/>
        </w:rPr>
        <w:t>最低价</w:t>
      </w:r>
      <w:r>
        <w:rPr>
          <w:rFonts w:hint="eastAsia" w:ascii="宋体" w:hAnsi="宋体" w:cs="宋体"/>
          <w:color w:val="000000"/>
          <w:sz w:val="24"/>
          <w:szCs w:val="24"/>
        </w:rPr>
        <w:t>法</w:t>
      </w:r>
      <w:permStart w:id="1" w:edGrp="everyone"/>
      <w:permEnd w:id="1"/>
    </w:p>
    <w:p w14:paraId="491F44A3">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报价方式：可二次报价</w:t>
      </w:r>
    </w:p>
    <w:p w14:paraId="6090F517">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456"/>
        <w:gridCol w:w="1327"/>
        <w:gridCol w:w="1594"/>
        <w:gridCol w:w="1594"/>
      </w:tblGrid>
      <w:tr w14:paraId="6406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5A4D539B">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lang w:val="en-US" w:eastAsia="zh-CN"/>
              </w:rPr>
            </w:pPr>
            <w:r>
              <w:rPr>
                <w:rFonts w:hint="default" w:ascii="Times New Roman" w:hAnsi="Times New Roman" w:eastAsia="宋体" w:cs="Times New Roman"/>
                <w:color w:val="000000"/>
                <w:kern w:val="2"/>
                <w:szCs w:val="24"/>
                <w:lang w:val="en-US" w:eastAsia="zh-CN"/>
              </w:rPr>
              <w:t>包号</w:t>
            </w:r>
          </w:p>
        </w:tc>
        <w:tc>
          <w:tcPr>
            <w:tcW w:w="2456" w:type="dxa"/>
            <w:noWrap w:val="0"/>
            <w:vAlign w:val="center"/>
          </w:tcPr>
          <w:p w14:paraId="7491F7CE">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rPr>
            </w:pPr>
            <w:r>
              <w:rPr>
                <w:rFonts w:hint="default" w:ascii="Times New Roman" w:hAnsi="Times New Roman" w:eastAsia="宋体" w:cs="Times New Roman"/>
                <w:color w:val="000000"/>
                <w:kern w:val="2"/>
                <w:szCs w:val="24"/>
              </w:rPr>
              <w:t>名称</w:t>
            </w:r>
          </w:p>
        </w:tc>
        <w:tc>
          <w:tcPr>
            <w:tcW w:w="1327" w:type="dxa"/>
            <w:noWrap w:val="0"/>
            <w:vAlign w:val="center"/>
          </w:tcPr>
          <w:p w14:paraId="1B999B63">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采购数量</w:t>
            </w:r>
          </w:p>
        </w:tc>
        <w:tc>
          <w:tcPr>
            <w:tcW w:w="1594" w:type="dxa"/>
            <w:noWrap w:val="0"/>
            <w:vAlign w:val="center"/>
          </w:tcPr>
          <w:p w14:paraId="2F26F8B5">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成交供应商</w:t>
            </w:r>
            <w:r>
              <w:rPr>
                <w:rFonts w:hint="default" w:ascii="Times New Roman" w:hAnsi="Times New Roman" w:eastAsia="宋体" w:cs="Times New Roman"/>
                <w:color w:val="000000"/>
                <w:kern w:val="2"/>
                <w:szCs w:val="24"/>
                <w:lang w:val="en-US" w:eastAsia="zh-CN"/>
              </w:rPr>
              <w:t>/品牌</w:t>
            </w:r>
            <w:r>
              <w:rPr>
                <w:rFonts w:hint="default" w:ascii="Times New Roman" w:hAnsi="Times New Roman" w:eastAsia="宋体" w:cs="Times New Roman"/>
                <w:color w:val="000000"/>
                <w:kern w:val="2"/>
                <w:szCs w:val="24"/>
              </w:rPr>
              <w:t>(个）</w:t>
            </w:r>
          </w:p>
        </w:tc>
        <w:tc>
          <w:tcPr>
            <w:tcW w:w="1594" w:type="dxa"/>
            <w:noWrap w:val="0"/>
            <w:vAlign w:val="center"/>
          </w:tcPr>
          <w:p w14:paraId="4E531254">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需求科室</w:t>
            </w:r>
          </w:p>
        </w:tc>
      </w:tr>
      <w:tr w14:paraId="4F37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87" w:type="dxa"/>
            <w:noWrap w:val="0"/>
            <w:vAlign w:val="center"/>
          </w:tcPr>
          <w:p w14:paraId="0F14D788">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包一</w:t>
            </w:r>
          </w:p>
        </w:tc>
        <w:tc>
          <w:tcPr>
            <w:tcW w:w="2456" w:type="dxa"/>
            <w:noWrap w:val="0"/>
            <w:vAlign w:val="center"/>
          </w:tcPr>
          <w:p w14:paraId="16ABC6C3">
            <w:pPr>
              <w:widowControl/>
              <w:spacing w:line="40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膝关节假体-股骨（胫骨）柄、膝关节假体-胫骨平台垫</w:t>
            </w:r>
          </w:p>
        </w:tc>
        <w:tc>
          <w:tcPr>
            <w:tcW w:w="1327" w:type="dxa"/>
            <w:noWrap w:val="0"/>
            <w:vAlign w:val="center"/>
          </w:tcPr>
          <w:p w14:paraId="28A7DD6D">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按实结算</w:t>
            </w:r>
          </w:p>
        </w:tc>
        <w:tc>
          <w:tcPr>
            <w:tcW w:w="1594" w:type="dxa"/>
            <w:noWrap w:val="0"/>
            <w:vAlign w:val="center"/>
          </w:tcPr>
          <w:p w14:paraId="2B741B98">
            <w:pPr>
              <w:widowControl/>
              <w:spacing w:line="40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2</w:t>
            </w:r>
          </w:p>
        </w:tc>
        <w:tc>
          <w:tcPr>
            <w:tcW w:w="1594" w:type="dxa"/>
            <w:noWrap w:val="0"/>
            <w:vAlign w:val="center"/>
          </w:tcPr>
          <w:p w14:paraId="7E2AF27C">
            <w:pPr>
              <w:widowControl/>
              <w:spacing w:line="40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i w:val="0"/>
                <w:iCs w:val="0"/>
                <w:color w:val="000000"/>
                <w:kern w:val="2"/>
                <w:sz w:val="24"/>
                <w:szCs w:val="24"/>
                <w:u w:val="none"/>
                <w:lang w:val="en-US" w:eastAsia="zh-CN" w:bidi="ar-SA"/>
              </w:rPr>
              <w:t>关节外科</w:t>
            </w:r>
          </w:p>
        </w:tc>
      </w:tr>
    </w:tbl>
    <w:p w14:paraId="230F82B1">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0D9B8731">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1E1375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ermStart w:id="2" w:edGrp="everyone"/>
      <w:permEnd w:id="2"/>
    </w:p>
    <w:p w14:paraId="754FFCB8">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B6CFF5F">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ermStart w:id="3" w:edGrp="everyone"/>
      <w:permEnd w:id="3"/>
    </w:p>
    <w:bookmarkEnd w:id="14"/>
    <w:bookmarkEnd w:id="15"/>
    <w:bookmarkEnd w:id="16"/>
    <w:bookmarkEnd w:id="17"/>
    <w:bookmarkEnd w:id="18"/>
    <w:p w14:paraId="67FFECAF">
      <w:pPr>
        <w:pStyle w:val="2"/>
        <w:rPr>
          <w:rFonts w:hint="eastAsia"/>
          <w:color w:val="auto"/>
        </w:rPr>
      </w:pPr>
      <w:bookmarkStart w:id="19" w:name="_Toc10137"/>
      <w:bookmarkStart w:id="20" w:name="_Toc76373866"/>
      <w:bookmarkStart w:id="21" w:name="_Toc25496"/>
      <w:bookmarkStart w:id="22" w:name="_Toc3434"/>
      <w:bookmarkStart w:id="23" w:name="_Toc26504"/>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关节外科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关节外科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关节外科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关节外科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14224"/>
      <w:bookmarkStart w:id="41" w:name="_Toc4033"/>
      <w:bookmarkStart w:id="42" w:name="_Toc9714"/>
      <w:bookmarkStart w:id="43" w:name="_Toc252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3153"/>
      <w:bookmarkStart w:id="49" w:name="_Toc13391"/>
      <w:bookmarkStart w:id="50" w:name="_Toc2599"/>
      <w:bookmarkStart w:id="51" w:name="_Toc114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29620"/>
      <w:bookmarkStart w:id="56" w:name="_Toc29225"/>
      <w:bookmarkStart w:id="57" w:name="_Toc76373876"/>
      <w:bookmarkStart w:id="58" w:name="_Toc6355"/>
      <w:bookmarkStart w:id="59" w:name="_Toc13107"/>
      <w:bookmarkStart w:id="60" w:name="_Toc1955"/>
    </w:p>
    <w:p w14:paraId="0BFBC7E6">
      <w:pPr>
        <w:spacing w:line="320" w:lineRule="exact"/>
        <w:ind w:firstLine="241" w:firstLineChars="100"/>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包1</w:t>
      </w:r>
    </w:p>
    <w:p w14:paraId="1005795F">
      <w:pPr>
        <w:pStyle w:val="2"/>
        <w:ind w:firstLine="240" w:firstLineChars="10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膝关节假体-胫骨平台垫：</w:t>
      </w:r>
    </w:p>
    <w:p w14:paraId="0A7FADD4">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金属垫块：位于胫骨平台假体和股骨假体与宿主骨之间，主要功能包括：</w:t>
      </w:r>
    </w:p>
    <w:p w14:paraId="6547F553">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全膝关节置换术中，为了填充股骨或胫骨骨缺损。</w:t>
      </w:r>
    </w:p>
    <w:p w14:paraId="76291B57">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参数：</w:t>
      </w:r>
    </w:p>
    <w:p w14:paraId="155531A5">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1.能配合集采全膝关节假体使用；</w:t>
      </w:r>
    </w:p>
    <w:p w14:paraId="34EA3EE6">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2.适用于胫骨/股骨平台不同形态的包容性、非包容性骨缺损填充；</w:t>
      </w:r>
    </w:p>
    <w:p w14:paraId="2D6245A7">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3.提供阶梯式厚度调节（如2mm-30mm增量），匹配术中精准重建需求；</w:t>
      </w:r>
    </w:p>
    <w:p w14:paraId="749789BF">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4.左右侧解剖学设计，贴合股骨髁/胫骨平台曲率；</w:t>
      </w:r>
    </w:p>
    <w:p w14:paraId="03F6D7A0">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5.提供楔形、矩形、柱形等多种形态。</w:t>
      </w:r>
    </w:p>
    <w:p w14:paraId="6B3A0DCC">
      <w:pPr>
        <w:pStyle w:val="2"/>
        <w:ind w:firstLine="240" w:firstLineChars="100"/>
        <w:rPr>
          <w:rFonts w:hint="eastAsia" w:ascii="Times New Roman" w:hAnsi="Times New Roman" w:eastAsia="宋体" w:cs="Times New Roman"/>
          <w:color w:val="000000"/>
          <w:sz w:val="24"/>
          <w:szCs w:val="24"/>
          <w:lang w:val="en-US" w:eastAsia="zh-CN"/>
        </w:rPr>
      </w:pPr>
    </w:p>
    <w:p w14:paraId="20EB0FEA">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color w:val="000000"/>
          <w:sz w:val="24"/>
          <w:szCs w:val="24"/>
          <w:lang w:val="en-US" w:eastAsia="zh-CN"/>
        </w:rPr>
        <w:t>膝关节假体-股骨（胫骨）柄：</w:t>
      </w:r>
    </w:p>
    <w:p w14:paraId="42FDB834">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股骨（胫骨）柄，是全膝关节置换假体-股骨或胫骨的延长杆，功能：</w:t>
      </w:r>
    </w:p>
    <w:p w14:paraId="06035D2D">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主要功能是 提高假体的初始和长期稳定性，具体包括：</w:t>
      </w:r>
    </w:p>
    <w:p w14:paraId="77C41EE3">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分散应力：减少胫骨平台假体与宿主骨界面的应力，降低松动风险。</w:t>
      </w:r>
    </w:p>
    <w:p w14:paraId="544497F5">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增强固定：在骨缺损或骨质疏松情况下提供额外的力学支撑。</w:t>
      </w:r>
    </w:p>
    <w:p w14:paraId="7DD6F4B0">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矫正力线：帮助维持正确的下肢机械轴线，避免假体对线不良。</w:t>
      </w:r>
    </w:p>
    <w:p w14:paraId="647AFB42">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翻修手术支持：在初次置换失败后，胫骨柄可帮助重建骨缺损并增强翻修假体的稳定性。</w:t>
      </w:r>
    </w:p>
    <w:p w14:paraId="5A769E66">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参数：</w:t>
      </w:r>
    </w:p>
    <w:p w14:paraId="27C8AFB9">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1.能配合集采全膝关节假体使用；</w:t>
      </w:r>
    </w:p>
    <w:p w14:paraId="3ECDCD37">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2.提供的不同长短的柄以及标准和带偏心距的柄，每个长度多个规格直径，以满足髓腔大小。</w:t>
      </w:r>
    </w:p>
    <w:p w14:paraId="6BD57247">
      <w:pPr>
        <w:pStyle w:val="3"/>
        <w:ind w:left="0" w:leftChars="0" w:firstLine="0" w:firstLineChars="0"/>
        <w:jc w:val="both"/>
        <w:rPr>
          <w:rFonts w:hint="default"/>
          <w:lang w:val="en-US" w:eastAsia="zh-CN"/>
        </w:rPr>
      </w:pPr>
      <w:bookmarkStart w:id="192" w:name="_GoBack"/>
      <w:bookmarkEnd w:id="192"/>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944"/>
      <w:bookmarkStart w:id="63" w:name="_Toc24122"/>
      <w:bookmarkStart w:id="64" w:name="_Toc7794"/>
      <w:bookmarkStart w:id="65" w:name="_Toc4791"/>
      <w:bookmarkStart w:id="66" w:name="_Toc17524"/>
      <w:bookmarkStart w:id="67" w:name="_Toc76373878"/>
      <w:bookmarkStart w:id="68" w:name="_Toc1768"/>
      <w:bookmarkStart w:id="69" w:name="_Toc2072"/>
      <w:bookmarkStart w:id="70" w:name="_Toc31843"/>
      <w:bookmarkStart w:id="71" w:name="_Toc15650"/>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9836"/>
      <w:bookmarkStart w:id="74" w:name="_Toc22561"/>
      <w:bookmarkStart w:id="75" w:name="_Toc14311"/>
      <w:bookmarkStart w:id="76" w:name="_Toc9339"/>
      <w:bookmarkStart w:id="77" w:name="_Toc76373879"/>
      <w:bookmarkStart w:id="78" w:name="_Toc30551"/>
      <w:bookmarkStart w:id="79" w:name="_Toc5959"/>
      <w:bookmarkStart w:id="80" w:name="_Toc16908"/>
      <w:bookmarkStart w:id="81" w:name="_Toc1352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76373885"/>
      <w:bookmarkStart w:id="85" w:name="_Toc12384"/>
      <w:bookmarkStart w:id="86" w:name="_Toc27893"/>
      <w:bookmarkStart w:id="87" w:name="_Toc27737"/>
      <w:bookmarkStart w:id="88" w:name="_Toc2258"/>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23699"/>
      <w:bookmarkStart w:id="92" w:name="_Toc11052"/>
      <w:bookmarkStart w:id="93" w:name="_Toc7115"/>
      <w:bookmarkStart w:id="94" w:name="_Toc12712"/>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5535"/>
      <w:bookmarkStart w:id="98" w:name="_Toc26754"/>
      <w:bookmarkStart w:id="99" w:name="_Toc31293"/>
      <w:bookmarkStart w:id="100" w:name="_Toc9147"/>
      <w:bookmarkStart w:id="101" w:name="_Toc13585"/>
      <w:bookmarkStart w:id="102" w:name="_Toc19809"/>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16925"/>
      <w:bookmarkStart w:id="105" w:name="_Toc8546"/>
      <w:bookmarkStart w:id="106" w:name="_Toc30068"/>
      <w:bookmarkStart w:id="107" w:name="_Toc76373889"/>
      <w:bookmarkStart w:id="108" w:name="_Toc5251"/>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11654"/>
      <w:bookmarkStart w:id="114" w:name="_Toc11342"/>
      <w:bookmarkStart w:id="115" w:name="_Toc26071"/>
      <w:bookmarkStart w:id="116" w:name="_Toc27443"/>
      <w:bookmarkStart w:id="117" w:name="_Toc76373890"/>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10864"/>
      <w:bookmarkStart w:id="121" w:name="_Toc25199"/>
      <w:bookmarkStart w:id="122" w:name="_Toc20391"/>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19409"/>
      <w:bookmarkStart w:id="133" w:name="_Toc2975"/>
      <w:bookmarkStart w:id="134" w:name="_Toc10152"/>
      <w:bookmarkStart w:id="135" w:name="_Toc24088"/>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1763"/>
      <w:bookmarkStart w:id="139" w:name="_Toc25920"/>
      <w:bookmarkStart w:id="140" w:name="_Toc12863"/>
      <w:bookmarkStart w:id="141" w:name="_Toc76373907"/>
      <w:bookmarkStart w:id="142" w:name="_Toc7750"/>
      <w:bookmarkStart w:id="143" w:name="_Toc1189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1830"/>
      <w:bookmarkStart w:id="166" w:name="_Toc76373909"/>
      <w:bookmarkStart w:id="167" w:name="_Toc21431"/>
      <w:bookmarkStart w:id="168" w:name="_Toc9795"/>
      <w:bookmarkStart w:id="169" w:name="_Toc27306"/>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258"/>
      <w:bookmarkStart w:id="174" w:name="_Toc76373910"/>
      <w:bookmarkStart w:id="175" w:name="_Toc493178791"/>
      <w:bookmarkStart w:id="176" w:name="_Toc12647"/>
      <w:bookmarkStart w:id="177" w:name="_Toc20875"/>
      <w:bookmarkStart w:id="178" w:name="_Toc492721039"/>
      <w:bookmarkStart w:id="179" w:name="_Toc411"/>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20605"/>
      <w:bookmarkStart w:id="184" w:name="_Toc6217"/>
      <w:bookmarkStart w:id="185" w:name="_Toc493178793"/>
      <w:bookmarkStart w:id="186" w:name="_Toc16151"/>
      <w:bookmarkStart w:id="187" w:name="_Toc19291"/>
      <w:bookmarkStart w:id="188" w:name="_Toc8925"/>
      <w:bookmarkStart w:id="189" w:name="_Toc4250"/>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DE25DC-B0D0-43B0-9A7B-0C8A18EF75A9}"/>
  </w:font>
  <w:font w:name="黑体">
    <w:panose1 w:val="02010609060101010101"/>
    <w:charset w:val="86"/>
    <w:family w:val="auto"/>
    <w:pitch w:val="default"/>
    <w:sig w:usb0="800002BF" w:usb1="38CF7CFA" w:usb2="00000016" w:usb3="00000000" w:csb0="00040001" w:csb1="00000000"/>
    <w:embedRegular r:id="rId2" w:fontKey="{8F5A286C-0D28-4A2A-8E43-BCDD4070CA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950CAED4-4258-4E8E-846B-F4BFB7B638D6}"/>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974C995B-6C82-4944-9A83-2BC719C9074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8476806-685B-446D-ABD5-FEE9C3B8D81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F6B2CF8E-A15D-44FB-8D3E-CD8840BD9A20}"/>
  </w:font>
  <w:font w:name="方正黑体_GBK">
    <w:panose1 w:val="03000509000000000000"/>
    <w:charset w:val="86"/>
    <w:family w:val="script"/>
    <w:pitch w:val="default"/>
    <w:sig w:usb0="00000001" w:usb1="080E0000" w:usb2="00000000" w:usb3="00000000" w:csb0="00040000" w:csb1="00000000"/>
    <w:embedRegular r:id="rId7" w:fontKey="{0CCD151A-FEAB-41AE-9691-DEE69A3A195F}"/>
  </w:font>
  <w:font w:name="方正小标宋_GBK">
    <w:panose1 w:val="03000509000000000000"/>
    <w:charset w:val="86"/>
    <w:family w:val="script"/>
    <w:pitch w:val="default"/>
    <w:sig w:usb0="00000001" w:usb1="080E0000" w:usb2="00000000" w:usb3="00000000" w:csb0="00040000" w:csb1="00000000"/>
    <w:embedRegular r:id="rId8" w:fontKey="{DBD08150-7B28-4909-A265-3DE3F413A186}"/>
  </w:font>
  <w:font w:name="微软雅黑">
    <w:panose1 w:val="020B0503020204020204"/>
    <w:charset w:val="86"/>
    <w:family w:val="swiss"/>
    <w:pitch w:val="default"/>
    <w:sig w:usb0="80000287" w:usb1="2ACF3C50" w:usb2="00000016" w:usb3="00000000" w:csb0="0004001F" w:csb1="00000000"/>
    <w:embedRegular r:id="rId9" w:fontKey="{55A5922A-2BF9-49BF-BDB2-21B4670E5DF3}"/>
  </w:font>
  <w:font w:name="仿宋">
    <w:panose1 w:val="02010609060101010101"/>
    <w:charset w:val="86"/>
    <w:family w:val="modern"/>
    <w:pitch w:val="default"/>
    <w:sig w:usb0="800002BF" w:usb1="38CF7CFA" w:usb2="00000016" w:usb3="00000000" w:csb0="00040001" w:csb1="00000000"/>
    <w:embedRegular r:id="rId10" w:fontKey="{828F50F4-DEB9-48FF-BD17-665E890E80A6}"/>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2E62BE"/>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4A26B2"/>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2194</Words>
  <Characters>2240</Characters>
  <Lines>101</Lines>
  <Paragraphs>28</Paragraphs>
  <TotalTime>0</TotalTime>
  <ScaleCrop>false</ScaleCrop>
  <LinksUpToDate>false</LinksUpToDate>
  <CharactersWithSpaces>2329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2026-07-08T02:21:33Z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