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304"/>
      <w:bookmarkStart w:id="2" w:name="_Toc13868"/>
      <w:bookmarkStart w:id="3" w:name="_Toc76373863"/>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5909"/>
      <w:bookmarkStart w:id="10" w:name="_Toc28264"/>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r>
        <w:rPr>
          <w:rFonts w:hint="default" w:ascii="Times New Roman" w:hAnsi="Times New Roman" w:eastAsia="宋体" w:cs="Times New Roman"/>
          <w:i w:val="0"/>
          <w:iCs w:val="0"/>
          <w:color w:val="000000"/>
          <w:kern w:val="2"/>
          <w:sz w:val="24"/>
          <w:szCs w:val="24"/>
          <w:u w:val="none"/>
          <w:lang w:val="en-US" w:eastAsia="zh-CN" w:bidi="ar-SA"/>
        </w:rPr>
        <w:t>经皮酒精注射针</w:t>
      </w:r>
      <w:r>
        <w:rPr>
          <w:rFonts w:hint="eastAsia" w:cs="Times New Roman"/>
          <w:i w:val="0"/>
          <w:iCs w:val="0"/>
          <w:color w:val="000000"/>
          <w:kern w:val="2"/>
          <w:sz w:val="24"/>
          <w:szCs w:val="24"/>
          <w:u w:val="none"/>
          <w:lang w:val="en-US" w:eastAsia="zh-CN" w:bidi="ar-SA"/>
        </w:rPr>
        <w:t>；</w:t>
      </w:r>
      <w:r>
        <w:rPr>
          <w:rFonts w:hint="default" w:ascii="Times New Roman" w:hAnsi="Times New Roman" w:eastAsia="宋体" w:cs="Times New Roman"/>
          <w:i w:val="0"/>
          <w:iCs w:val="0"/>
          <w:color w:val="000000"/>
          <w:kern w:val="2"/>
          <w:sz w:val="24"/>
          <w:szCs w:val="24"/>
          <w:u w:val="none"/>
          <w:lang w:val="en-US" w:eastAsia="zh-CN" w:bidi="ar-SA"/>
        </w:rPr>
        <w:t>胃肠超声助显剂/造影剂</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223A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14E1D3D3">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2A0F9240">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7CFD6336">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5D3E99E7">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56536130">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532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87" w:type="dxa"/>
            <w:noWrap w:val="0"/>
            <w:vAlign w:val="center"/>
          </w:tcPr>
          <w:p w14:paraId="118E8BA6">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包一</w:t>
            </w:r>
          </w:p>
        </w:tc>
        <w:tc>
          <w:tcPr>
            <w:tcW w:w="2456" w:type="dxa"/>
            <w:noWrap w:val="0"/>
            <w:vAlign w:val="center"/>
          </w:tcPr>
          <w:p w14:paraId="326CA644">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2"/>
                <w:sz w:val="24"/>
                <w:szCs w:val="24"/>
                <w:u w:val="none"/>
                <w:lang w:val="en-US" w:eastAsia="zh-CN" w:bidi="ar-SA"/>
              </w:rPr>
              <w:t>经皮酒精注射针</w:t>
            </w:r>
          </w:p>
        </w:tc>
        <w:tc>
          <w:tcPr>
            <w:tcW w:w="1327" w:type="dxa"/>
            <w:noWrap w:val="0"/>
            <w:vAlign w:val="center"/>
          </w:tcPr>
          <w:p w14:paraId="26B92023">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按实结算</w:t>
            </w:r>
          </w:p>
        </w:tc>
        <w:tc>
          <w:tcPr>
            <w:tcW w:w="1594" w:type="dxa"/>
            <w:noWrap w:val="0"/>
            <w:vAlign w:val="center"/>
          </w:tcPr>
          <w:p w14:paraId="05293BF7">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1</w:t>
            </w:r>
          </w:p>
        </w:tc>
        <w:tc>
          <w:tcPr>
            <w:tcW w:w="1594" w:type="dxa"/>
            <w:noWrap w:val="0"/>
            <w:vAlign w:val="center"/>
          </w:tcPr>
          <w:p w14:paraId="27F4A803">
            <w:pPr>
              <w:pStyle w:val="52"/>
              <w:spacing w:before="120" w:beforeLines="50" w:beforeAutospacing="0" w:after="0" w:afterAutospacing="0" w:line="400" w:lineRule="exact"/>
              <w:jc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2"/>
                <w:sz w:val="24"/>
                <w:szCs w:val="24"/>
                <w:u w:val="none"/>
                <w:lang w:val="en-US" w:eastAsia="zh-CN" w:bidi="ar-SA"/>
              </w:rPr>
              <w:t>超声科</w:t>
            </w:r>
          </w:p>
        </w:tc>
      </w:tr>
      <w:tr w14:paraId="51A7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87" w:type="dxa"/>
            <w:noWrap w:val="0"/>
            <w:vAlign w:val="center"/>
          </w:tcPr>
          <w:p w14:paraId="52256CA3">
            <w:pPr>
              <w:widowControl/>
              <w:spacing w:line="400" w:lineRule="exact"/>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包二</w:t>
            </w:r>
          </w:p>
        </w:tc>
        <w:tc>
          <w:tcPr>
            <w:tcW w:w="2456" w:type="dxa"/>
            <w:noWrap w:val="0"/>
            <w:vAlign w:val="center"/>
          </w:tcPr>
          <w:p w14:paraId="1EAAEDCC">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2"/>
                <w:sz w:val="24"/>
                <w:szCs w:val="24"/>
                <w:u w:val="none"/>
                <w:lang w:val="en-US" w:eastAsia="zh-CN" w:bidi="ar-SA"/>
              </w:rPr>
              <w:t>胃肠超声助显剂/造影剂</w:t>
            </w:r>
          </w:p>
        </w:tc>
        <w:tc>
          <w:tcPr>
            <w:tcW w:w="1327" w:type="dxa"/>
            <w:noWrap w:val="0"/>
            <w:vAlign w:val="center"/>
          </w:tcPr>
          <w:p w14:paraId="0FC2CB6E">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按实结算</w:t>
            </w:r>
          </w:p>
        </w:tc>
        <w:tc>
          <w:tcPr>
            <w:tcW w:w="1594" w:type="dxa"/>
            <w:noWrap w:val="0"/>
            <w:vAlign w:val="center"/>
          </w:tcPr>
          <w:p w14:paraId="038E81C3">
            <w:pPr>
              <w:widowControl/>
              <w:spacing w:line="400" w:lineRule="exact"/>
              <w:jc w:val="center"/>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1</w:t>
            </w:r>
          </w:p>
        </w:tc>
        <w:tc>
          <w:tcPr>
            <w:tcW w:w="1594" w:type="dxa"/>
            <w:noWrap w:val="0"/>
            <w:vAlign w:val="center"/>
          </w:tcPr>
          <w:p w14:paraId="72D76C31">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rPr>
            </w:pPr>
            <w:r>
              <w:rPr>
                <w:rFonts w:hint="eastAsia" w:ascii="Times New Roman" w:hAnsi="Times New Roman" w:eastAsia="宋体" w:cs="Times New Roman"/>
                <w:i w:val="0"/>
                <w:iCs w:val="0"/>
                <w:color w:val="000000"/>
                <w:kern w:val="2"/>
                <w:sz w:val="24"/>
                <w:szCs w:val="24"/>
                <w:u w:val="none"/>
                <w:lang w:val="en-US" w:eastAsia="zh-CN" w:bidi="ar-SA"/>
              </w:rPr>
              <w:t>超声科、健康医学中心</w:t>
            </w:r>
          </w:p>
        </w:tc>
      </w:tr>
    </w:tbl>
    <w:p w14:paraId="7761DD91">
      <w:pPr>
        <w:pStyle w:val="2"/>
        <w:rPr>
          <w:rFonts w:hint="eastAsia"/>
        </w:rPr>
      </w:pPr>
    </w:p>
    <w:p w14:paraId="5F8E83AD">
      <w:pPr>
        <w:widowControl/>
        <w:spacing w:before="120" w:beforeLines="50"/>
        <w:ind w:firstLine="480" w:firstLineChars="200"/>
        <w:rPr>
          <w:rFonts w:hint="eastAsia" w:ascii="宋体" w:hAnsi="宋体" w:cs="宋体"/>
          <w:color w:val="auto"/>
          <w:sz w:val="24"/>
          <w:szCs w:val="24"/>
        </w:rPr>
      </w:pPr>
      <w:bookmarkStart w:id="14" w:name="_Toc22707"/>
      <w:bookmarkStart w:id="15" w:name="_Toc5838"/>
      <w:bookmarkStart w:id="16" w:name="_Toc22129"/>
      <w:bookmarkStart w:id="17" w:name="_Toc76373865"/>
      <w:bookmarkStart w:id="18" w:name="_Toc18060"/>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5.本项目为院内产品合同过期重新采购</w:t>
      </w:r>
    </w:p>
    <w:bookmarkEnd w:id="14"/>
    <w:bookmarkEnd w:id="15"/>
    <w:bookmarkEnd w:id="16"/>
    <w:bookmarkEnd w:id="17"/>
    <w:bookmarkEnd w:id="18"/>
    <w:p w14:paraId="67FFECAF">
      <w:pPr>
        <w:pStyle w:val="2"/>
        <w:rPr>
          <w:rFonts w:hint="eastAsia"/>
          <w:color w:val="auto"/>
        </w:rPr>
      </w:pPr>
      <w:bookmarkStart w:id="19" w:name="_Toc26504"/>
      <w:bookmarkStart w:id="20" w:name="_Toc30358"/>
      <w:bookmarkStart w:id="21" w:name="_Toc25496"/>
      <w:bookmarkStart w:id="22" w:name="_Toc10137"/>
      <w:bookmarkStart w:id="23" w:name="_Toc76373866"/>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654"/>
      <w:bookmarkStart w:id="31" w:name="_Toc7527"/>
      <w:bookmarkStart w:id="32" w:name="_Toc28099"/>
      <w:bookmarkStart w:id="33" w:name="_Toc187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超声科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超声科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超声科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超声科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0AAC47D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25272"/>
      <w:bookmarkStart w:id="44" w:name="_Toc14224"/>
      <w:bookmarkStart w:id="45" w:name="_Toc9714"/>
      <w:bookmarkStart w:id="46" w:name="_Toc4033"/>
      <w:bookmarkStart w:id="47" w:name="_Toc763738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3153"/>
      <w:bookmarkStart w:id="52" w:name="_Toc13391"/>
      <w:bookmarkStart w:id="53" w:name="_Toc76373874"/>
      <w:bookmarkStart w:id="54" w:name="_Toc11474"/>
      <w:bookmarkStart w:id="55" w:name="_Toc2599"/>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29225"/>
      <w:bookmarkStart w:id="60" w:name="_Toc76373876"/>
      <w:bookmarkStart w:id="61" w:name="_Toc29620"/>
      <w:bookmarkStart w:id="62" w:name="_Toc30465"/>
      <w:bookmarkStart w:id="63" w:name="_Toc13107"/>
      <w:bookmarkStart w:id="64" w:name="_Toc1955"/>
    </w:p>
    <w:p w14:paraId="6FA948B0">
      <w:pPr>
        <w:pStyle w:val="31"/>
        <w:ind w:firstLine="211" w:firstLineChars="100"/>
        <w:rPr>
          <w:rFonts w:hint="eastAsia"/>
          <w:lang w:val="en-US" w:eastAsia="zh-CN"/>
        </w:rPr>
      </w:pPr>
      <w:r>
        <w:rPr>
          <w:rFonts w:hint="eastAsia"/>
          <w:b/>
          <w:bCs/>
          <w:lang w:val="en-US" w:eastAsia="zh-CN"/>
        </w:rPr>
        <w:t>包1</w:t>
      </w:r>
    </w:p>
    <w:p w14:paraId="586B93E8">
      <w:pPr>
        <w:pStyle w:val="31"/>
        <w:rPr>
          <w:rFonts w:hint="default"/>
          <w:lang w:val="en-US" w:eastAsia="zh-CN"/>
        </w:rPr>
      </w:pPr>
      <w:r>
        <w:rPr>
          <w:rFonts w:hint="default"/>
          <w:lang w:val="en-US" w:eastAsia="zh-CN"/>
        </w:rPr>
        <w:t>1、功能需求</w:t>
      </w:r>
    </w:p>
    <w:p w14:paraId="783DA931">
      <w:pPr>
        <w:pStyle w:val="31"/>
        <w:rPr>
          <w:rFonts w:hint="default"/>
          <w:lang w:val="en-US" w:eastAsia="zh-CN"/>
        </w:rPr>
      </w:pPr>
      <w:r>
        <w:rPr>
          <w:rFonts w:hint="default"/>
          <w:lang w:val="en-US" w:eastAsia="zh-CN"/>
        </w:rPr>
        <w:t>适用于超声影像技术引导下经皮穿刺进入病灶，进行假性动脉瘤介入治疗、肝肿瘤无水乙醇消融治疗、肝肾囊肿介入硬化治疗等。</w:t>
      </w:r>
    </w:p>
    <w:p w14:paraId="56D4448D">
      <w:pPr>
        <w:pStyle w:val="31"/>
        <w:rPr>
          <w:rFonts w:hint="default"/>
          <w:lang w:val="en-US" w:eastAsia="zh-CN"/>
        </w:rPr>
      </w:pPr>
      <w:r>
        <w:rPr>
          <w:rFonts w:hint="default"/>
          <w:lang w:val="en-US" w:eastAsia="zh-CN"/>
        </w:rPr>
        <w:t>2、技术参数</w:t>
      </w:r>
    </w:p>
    <w:p w14:paraId="3C3E297C">
      <w:pPr>
        <w:pStyle w:val="31"/>
        <w:rPr>
          <w:rFonts w:hint="default"/>
          <w:lang w:val="en-US" w:eastAsia="zh-CN"/>
        </w:rPr>
      </w:pPr>
      <w:r>
        <w:rPr>
          <w:rFonts w:hint="default"/>
          <w:lang w:val="en-US" w:eastAsia="zh-CN"/>
        </w:rPr>
        <w:t>（1）规格型号：投标产品须提供多种常用规格配置，必须包含且不限于21G，</w:t>
      </w:r>
      <w:r>
        <w:rPr>
          <w:rFonts w:hint="eastAsia"/>
          <w:lang w:val="en-US" w:eastAsia="zh-CN"/>
        </w:rPr>
        <w:t>长度≥150mm，</w:t>
      </w:r>
      <w:r>
        <w:rPr>
          <w:rFonts w:hint="default"/>
          <w:lang w:val="en-US" w:eastAsia="zh-CN"/>
        </w:rPr>
        <w:t>针尖段需有对称分布的侧孔（注：需明确标注G值及对应尺寸）。</w:t>
      </w:r>
    </w:p>
    <w:p w14:paraId="1636D27A">
      <w:pPr>
        <w:pStyle w:val="31"/>
        <w:rPr>
          <w:rFonts w:hint="default"/>
          <w:lang w:val="en-US" w:eastAsia="zh-CN"/>
        </w:rPr>
      </w:pPr>
      <w:r>
        <w:rPr>
          <w:rFonts w:hint="default"/>
          <w:lang w:val="en-US" w:eastAsia="zh-CN"/>
        </w:rPr>
        <w:t>（2）针管材质：采用超弹性医用级不锈钢或镍钛合金制造，保证针管具有极高的刚性，穿刺过程中不易弯曲、变形，确保在影像引导下的精准定位。</w:t>
      </w:r>
    </w:p>
    <w:p w14:paraId="443EF373">
      <w:pPr>
        <w:pStyle w:val="31"/>
        <w:rPr>
          <w:rFonts w:hint="default"/>
          <w:lang w:val="en-US" w:eastAsia="zh-CN"/>
        </w:rPr>
      </w:pPr>
      <w:r>
        <w:rPr>
          <w:rFonts w:hint="default"/>
          <w:lang w:val="en-US" w:eastAsia="zh-CN"/>
        </w:rPr>
        <w:t>（3）针尖设计：斜面角型，尖锐度高，穿刺阻力小，以确保穿刺顺畅，减少组织损伤和患者疼痛。针尖必须有增强显影技术，确保在超声影像下清晰可视，便于实时追踪针尖位置。</w:t>
      </w:r>
    </w:p>
    <w:p w14:paraId="034F15BA">
      <w:pPr>
        <w:pStyle w:val="31"/>
        <w:rPr>
          <w:rFonts w:hint="default"/>
          <w:lang w:val="en-US" w:eastAsia="zh-CN"/>
        </w:rPr>
      </w:pPr>
      <w:r>
        <w:rPr>
          <w:rFonts w:hint="default"/>
          <w:lang w:val="en-US" w:eastAsia="zh-CN"/>
        </w:rPr>
        <w:t>（4）针管应有清晰的深度刻度标记，数字清晰易读，近针座端应有彩色环状标记或针座上有方向标识，用于影像引导下判断针尖斜面的方向。</w:t>
      </w:r>
    </w:p>
    <w:p w14:paraId="4A2FBD24">
      <w:pPr>
        <w:pStyle w:val="31"/>
        <w:rPr>
          <w:rFonts w:hint="default"/>
          <w:lang w:val="en-US" w:eastAsia="zh-CN"/>
        </w:rPr>
      </w:pPr>
      <w:r>
        <w:rPr>
          <w:rFonts w:hint="default"/>
          <w:lang w:val="en-US" w:eastAsia="zh-CN"/>
        </w:rPr>
        <w:t>（5）针座与连接：透明医用高分子材料，便于观察回血和酒精气泡。</w:t>
      </w:r>
      <w:r>
        <w:rPr>
          <w:rFonts w:hint="eastAsia"/>
          <w:lang w:val="en-US" w:eastAsia="zh-CN"/>
        </w:rPr>
        <w:t>通用</w:t>
      </w:r>
      <w:bookmarkStart w:id="196" w:name="_GoBack"/>
      <w:bookmarkEnd w:id="196"/>
      <w:r>
        <w:rPr>
          <w:rFonts w:hint="default"/>
          <w:lang w:val="en-US" w:eastAsia="zh-CN"/>
        </w:rPr>
        <w:t>接头，确保与注射器连接牢固，在注射高粘度液体或压力增大时无泄漏、无脱开风险。</w:t>
      </w:r>
    </w:p>
    <w:p w14:paraId="32C33238">
      <w:pPr>
        <w:pStyle w:val="31"/>
        <w:rPr>
          <w:rFonts w:hint="default"/>
          <w:lang w:val="en-US" w:eastAsia="zh-CN"/>
        </w:rPr>
      </w:pPr>
      <w:r>
        <w:rPr>
          <w:rFonts w:hint="default"/>
          <w:lang w:val="en-US" w:eastAsia="zh-CN"/>
        </w:rPr>
        <w:t>（</w:t>
      </w:r>
      <w:r>
        <w:rPr>
          <w:rFonts w:hint="eastAsia"/>
          <w:lang w:val="en-US" w:eastAsia="zh-CN"/>
        </w:rPr>
        <w:t>6</w:t>
      </w:r>
      <w:r>
        <w:rPr>
          <w:rFonts w:hint="default"/>
          <w:lang w:val="en-US" w:eastAsia="zh-CN"/>
        </w:rPr>
        <w:t>）产品必须为无菌，并提供灭菌验证报告。</w:t>
      </w:r>
    </w:p>
    <w:p w14:paraId="302460DC">
      <w:pPr>
        <w:pStyle w:val="31"/>
        <w:rPr>
          <w:rFonts w:hint="default"/>
          <w:lang w:val="en-US" w:eastAsia="zh-CN"/>
        </w:rPr>
      </w:pPr>
      <w:r>
        <w:rPr>
          <w:rFonts w:hint="default"/>
          <w:lang w:val="en-US" w:eastAsia="zh-CN"/>
        </w:rPr>
        <w:t>（</w:t>
      </w:r>
      <w:r>
        <w:rPr>
          <w:rFonts w:hint="eastAsia"/>
          <w:lang w:val="en-US" w:eastAsia="zh-CN"/>
        </w:rPr>
        <w:t>7</w:t>
      </w:r>
      <w:r>
        <w:rPr>
          <w:rFonts w:hint="default"/>
          <w:lang w:val="en-US" w:eastAsia="zh-CN"/>
        </w:rPr>
        <w:t>）每支针必须为独立撕开式无菌包装，包装完好无破损。外包装标识清晰，内含产品注册证号、生产批号、有效期等信息。</w:t>
      </w:r>
    </w:p>
    <w:p w14:paraId="5B93C9F5">
      <w:pPr>
        <w:pStyle w:val="31"/>
        <w:rPr>
          <w:rFonts w:hint="default"/>
          <w:lang w:val="en-US" w:eastAsia="zh-CN"/>
        </w:rPr>
      </w:pPr>
      <w:r>
        <w:rPr>
          <w:rFonts w:hint="default"/>
          <w:lang w:val="en-US" w:eastAsia="zh-CN"/>
        </w:rPr>
        <w:t>3、组成或成分</w:t>
      </w:r>
    </w:p>
    <w:p w14:paraId="5FBB0ECE">
      <w:pPr>
        <w:pStyle w:val="31"/>
        <w:rPr>
          <w:rFonts w:hint="default"/>
          <w:lang w:val="en-US" w:eastAsia="zh-CN"/>
        </w:rPr>
      </w:pPr>
      <w:r>
        <w:rPr>
          <w:rFonts w:hint="default"/>
          <w:lang w:val="en-US" w:eastAsia="zh-CN"/>
        </w:rPr>
        <w:t>针管、针座、保护套管和定位标记，确保穿刺精准和安全。</w:t>
      </w:r>
    </w:p>
    <w:p w14:paraId="0406A9D9">
      <w:pPr>
        <w:pStyle w:val="31"/>
        <w:rPr>
          <w:rFonts w:hint="eastAsia"/>
          <w:lang w:val="en-US" w:eastAsia="zh-CN"/>
        </w:rPr>
      </w:pPr>
    </w:p>
    <w:p w14:paraId="75B9CD14">
      <w:pPr>
        <w:pStyle w:val="31"/>
        <w:ind w:firstLine="211" w:firstLineChars="100"/>
        <w:rPr>
          <w:rFonts w:hint="default"/>
          <w:b/>
          <w:bCs/>
          <w:lang w:val="en-US" w:eastAsia="zh-CN"/>
        </w:rPr>
      </w:pPr>
      <w:r>
        <w:rPr>
          <w:rFonts w:hint="eastAsia"/>
          <w:b/>
          <w:bCs/>
          <w:lang w:val="en-US" w:eastAsia="zh-CN"/>
        </w:rPr>
        <w:t>包2</w:t>
      </w:r>
    </w:p>
    <w:p w14:paraId="381F3C6C">
      <w:pPr>
        <w:pStyle w:val="31"/>
        <w:rPr>
          <w:rFonts w:hint="default"/>
          <w:lang w:val="en-US" w:eastAsia="zh-CN"/>
        </w:rPr>
      </w:pPr>
      <w:r>
        <w:rPr>
          <w:rFonts w:hint="default"/>
          <w:lang w:val="en-US" w:eastAsia="zh-CN"/>
        </w:rPr>
        <w:t>1.用于辅助对人体胃肠及周围器官的超声检查</w:t>
      </w:r>
    </w:p>
    <w:p w14:paraId="17A75FE3">
      <w:pPr>
        <w:pStyle w:val="31"/>
        <w:rPr>
          <w:rFonts w:hint="default"/>
          <w:lang w:val="en-US" w:eastAsia="zh-CN"/>
        </w:rPr>
      </w:pPr>
      <w:r>
        <w:rPr>
          <w:rFonts w:hint="default"/>
          <w:lang w:val="en-US" w:eastAsia="zh-CN"/>
        </w:rPr>
        <w:t>2.检测方法:口服</w:t>
      </w:r>
    </w:p>
    <w:p w14:paraId="32BCF6DC">
      <w:pPr>
        <w:pStyle w:val="31"/>
        <w:rPr>
          <w:rFonts w:hint="default"/>
          <w:lang w:val="en-US" w:eastAsia="zh-CN"/>
        </w:rPr>
      </w:pPr>
      <w:r>
        <w:rPr>
          <w:rFonts w:hint="default"/>
          <w:lang w:val="en-US" w:eastAsia="zh-CN"/>
        </w:rPr>
        <w:t>3.主要成分：应明确标注主要显影成分（如：山药、薏苡仁、黄豆、魔芋等植物提取物或纤维素，或其他安全可靠的高分子聚合物）</w:t>
      </w:r>
    </w:p>
    <w:p w14:paraId="77675DA6">
      <w:pPr>
        <w:pStyle w:val="31"/>
        <w:rPr>
          <w:rFonts w:hint="default"/>
          <w:lang w:val="en-US" w:eastAsia="zh-CN"/>
        </w:rPr>
      </w:pPr>
      <w:r>
        <w:rPr>
          <w:rFonts w:hint="default"/>
          <w:lang w:val="en-US" w:eastAsia="zh-CN"/>
        </w:rPr>
        <w:t>4.产品类型:</w:t>
      </w:r>
      <w:r>
        <w:rPr>
          <w:rFonts w:hint="eastAsia"/>
          <w:lang w:val="en-US" w:eastAsia="zh-CN"/>
        </w:rPr>
        <w:t>袋装或</w:t>
      </w:r>
      <w:r>
        <w:rPr>
          <w:rFonts w:hint="default"/>
          <w:lang w:val="en-US" w:eastAsia="zh-CN"/>
        </w:rPr>
        <w:t>瓶装</w:t>
      </w:r>
    </w:p>
    <w:p w14:paraId="6A61E99D">
      <w:pPr>
        <w:pStyle w:val="31"/>
        <w:rPr>
          <w:rFonts w:hint="default"/>
          <w:lang w:val="en-US" w:eastAsia="zh-CN"/>
        </w:rPr>
      </w:pPr>
      <w:r>
        <w:rPr>
          <w:rFonts w:hint="default"/>
          <w:lang w:val="en-US" w:eastAsia="zh-CN"/>
        </w:rPr>
        <w:t>5.产品形态:干粉剂型</w:t>
      </w:r>
      <w:r>
        <w:rPr>
          <w:rFonts w:hint="eastAsia"/>
          <w:lang w:val="en-US" w:eastAsia="zh-CN"/>
        </w:rPr>
        <w:t>、</w:t>
      </w:r>
      <w:r>
        <w:rPr>
          <w:rFonts w:hint="default"/>
          <w:lang w:val="en-US" w:eastAsia="zh-CN"/>
        </w:rPr>
        <w:t>颗粒状</w:t>
      </w:r>
      <w:r>
        <w:rPr>
          <w:rFonts w:hint="eastAsia"/>
          <w:lang w:val="en-US" w:eastAsia="zh-CN"/>
        </w:rPr>
        <w:t>或</w:t>
      </w:r>
      <w:r>
        <w:rPr>
          <w:rFonts w:hint="default"/>
          <w:lang w:val="en-US" w:eastAsia="zh-CN"/>
        </w:rPr>
        <w:t>混悬液态</w:t>
      </w:r>
    </w:p>
    <w:p w14:paraId="4ECFAA65">
      <w:pPr>
        <w:pStyle w:val="31"/>
        <w:rPr>
          <w:rFonts w:hint="default"/>
          <w:lang w:val="en-US" w:eastAsia="zh-CN"/>
        </w:rPr>
      </w:pPr>
      <w:r>
        <w:rPr>
          <w:rFonts w:hint="default"/>
          <w:lang w:val="en-US" w:eastAsia="zh-CN"/>
        </w:rPr>
        <w:t>6.产品组成成份不经过肝肾代谢</w:t>
      </w:r>
      <w:r>
        <w:rPr>
          <w:rFonts w:hint="eastAsia"/>
          <w:lang w:val="en-US" w:eastAsia="zh-CN"/>
        </w:rPr>
        <w:t>，</w:t>
      </w:r>
      <w:r>
        <w:rPr>
          <w:rFonts w:hint="default"/>
          <w:lang w:val="en-US" w:eastAsia="zh-CN"/>
        </w:rPr>
        <w:t>无淀粉转化糖成份</w:t>
      </w:r>
    </w:p>
    <w:p w14:paraId="7C8A2F5E">
      <w:pPr>
        <w:pStyle w:val="31"/>
        <w:rPr>
          <w:rFonts w:hint="default"/>
          <w:lang w:val="en-US" w:eastAsia="zh-CN"/>
        </w:rPr>
      </w:pPr>
      <w:r>
        <w:rPr>
          <w:rFonts w:hint="eastAsia"/>
          <w:lang w:val="en-US" w:eastAsia="zh-CN"/>
        </w:rPr>
        <w:t>7.分散均匀，</w:t>
      </w:r>
      <w:r>
        <w:rPr>
          <w:rFonts w:hint="default"/>
          <w:lang w:val="en-US" w:eastAsia="zh-CN"/>
        </w:rPr>
        <w:t>无肉眼可见的结块及沉淀分层现象，稳定性高</w:t>
      </w:r>
    </w:p>
    <w:p w14:paraId="7D534C73">
      <w:pPr>
        <w:pStyle w:val="31"/>
        <w:rPr>
          <w:rFonts w:hint="default"/>
          <w:lang w:val="en-US" w:eastAsia="zh-CN"/>
        </w:rPr>
      </w:pPr>
      <w:r>
        <w:rPr>
          <w:rFonts w:hint="eastAsia"/>
          <w:lang w:val="en-US" w:eastAsia="zh-CN"/>
        </w:rPr>
        <w:t>8</w:t>
      </w:r>
      <w:r>
        <w:rPr>
          <w:rFonts w:hint="default"/>
          <w:lang w:val="en-US" w:eastAsia="zh-CN"/>
        </w:rPr>
        <w:t>.</w:t>
      </w:r>
      <w:r>
        <w:rPr>
          <w:rFonts w:hint="eastAsia"/>
          <w:lang w:val="en-US" w:eastAsia="zh-CN"/>
        </w:rPr>
        <w:t>质保</w:t>
      </w:r>
      <w:r>
        <w:rPr>
          <w:rFonts w:hint="default"/>
          <w:lang w:val="en-US" w:eastAsia="zh-CN"/>
        </w:rPr>
        <w:t>期限</w:t>
      </w:r>
      <w:r>
        <w:rPr>
          <w:rFonts w:hint="default" w:ascii="Arial" w:hAnsi="Arial" w:cs="Arial"/>
          <w:lang w:val="en-US" w:eastAsia="zh-CN"/>
        </w:rPr>
        <w:t>≥</w:t>
      </w:r>
      <w:r>
        <w:rPr>
          <w:rFonts w:hint="eastAsia" w:ascii="Arial" w:hAnsi="Arial" w:cs="Arial"/>
          <w:lang w:val="en-US" w:eastAsia="zh-CN"/>
        </w:rPr>
        <w:t>1</w:t>
      </w:r>
      <w:r>
        <w:rPr>
          <w:rFonts w:hint="default"/>
          <w:lang w:val="en-US" w:eastAsia="zh-CN"/>
        </w:rPr>
        <w:t>年</w:t>
      </w:r>
    </w:p>
    <w:p w14:paraId="5E4564A8">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24122"/>
      <w:bookmarkStart w:id="68" w:name="_Toc2072"/>
      <w:bookmarkStart w:id="69" w:name="_Toc15650"/>
      <w:bookmarkStart w:id="70" w:name="_Toc4791"/>
      <w:bookmarkStart w:id="71" w:name="_Toc17944"/>
      <w:bookmarkStart w:id="72" w:name="_Toc31843"/>
      <w:bookmarkStart w:id="73" w:name="_Toc7794"/>
      <w:bookmarkStart w:id="74" w:name="_Toc17524"/>
      <w:bookmarkStart w:id="75" w:name="_Toc7637387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22561"/>
      <w:bookmarkStart w:id="78" w:name="_Toc9339"/>
      <w:bookmarkStart w:id="79" w:name="_Toc29836"/>
      <w:bookmarkStart w:id="80" w:name="_Toc14311"/>
      <w:bookmarkStart w:id="81" w:name="_Toc30551"/>
      <w:bookmarkStart w:id="82" w:name="_Toc76373879"/>
      <w:bookmarkStart w:id="83" w:name="_Toc5959"/>
      <w:bookmarkStart w:id="84" w:name="_Toc28942"/>
      <w:bookmarkStart w:id="85" w:name="_Toc16908"/>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737"/>
      <w:bookmarkStart w:id="88" w:name="_Toc12384"/>
      <w:bookmarkStart w:id="89" w:name="_Toc27893"/>
      <w:bookmarkStart w:id="90" w:name="_Toc20772"/>
      <w:bookmarkStart w:id="91" w:name="_Toc2258"/>
      <w:bookmarkStart w:id="92" w:name="_Toc76373885"/>
      <w:bookmarkStart w:id="93" w:name="_Toc2026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28189"/>
      <w:bookmarkStart w:id="96" w:name="_Toc12712"/>
      <w:bookmarkStart w:id="97" w:name="_Toc23699"/>
      <w:bookmarkStart w:id="98" w:name="_Toc11052"/>
      <w:bookmarkStart w:id="99" w:name="_Toc7115"/>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1" w:name="_Toc5535"/>
      <w:bookmarkStart w:id="102" w:name="_Toc31293"/>
      <w:bookmarkStart w:id="103" w:name="_Toc76373887"/>
      <w:bookmarkStart w:id="104" w:name="_Toc13585"/>
      <w:bookmarkStart w:id="105" w:name="_Toc26754"/>
      <w:bookmarkStart w:id="106" w:name="_Toc19809"/>
      <w:bookmarkStart w:id="107"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5251"/>
      <w:bookmarkStart w:id="109" w:name="_Toc30068"/>
      <w:bookmarkStart w:id="110" w:name="_Toc16925"/>
      <w:bookmarkStart w:id="111" w:name="_Toc2900"/>
      <w:bookmarkStart w:id="112" w:name="_Toc8546"/>
      <w:bookmarkStart w:id="113" w:name="_Toc76373889"/>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11342"/>
      <w:bookmarkStart w:id="117" w:name="_Toc11654"/>
      <w:bookmarkStart w:id="118" w:name="_Toc26071"/>
      <w:bookmarkStart w:id="119" w:name="_Toc76373890"/>
      <w:bookmarkStart w:id="120" w:name="_Toc20034"/>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7646"/>
      <w:bookmarkStart w:id="124" w:name="_Toc76373891"/>
      <w:bookmarkStart w:id="125" w:name="_Toc20391"/>
      <w:bookmarkStart w:id="126" w:name="_Toc25199"/>
      <w:bookmarkStart w:id="127" w:name="_Toc10864"/>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4088"/>
      <w:bookmarkStart w:id="136" w:name="_Toc76373904"/>
      <w:bookmarkStart w:id="137" w:name="_Toc20762"/>
      <w:bookmarkStart w:id="138" w:name="_Toc19409"/>
      <w:bookmarkStart w:id="139" w:name="_Toc2975"/>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6112"/>
      <w:bookmarkStart w:id="143" w:name="_Toc12863"/>
      <w:bookmarkStart w:id="144" w:name="_Toc7750"/>
      <w:bookmarkStart w:id="145" w:name="_Toc11892"/>
      <w:bookmarkStart w:id="146" w:name="_Toc76373907"/>
      <w:bookmarkStart w:id="147" w:name="_Toc117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493178790"/>
      <w:bookmarkStart w:id="169" w:name="_Toc21431"/>
      <w:bookmarkStart w:id="170" w:name="_Toc21830"/>
      <w:bookmarkStart w:id="171" w:name="_Toc27306"/>
      <w:bookmarkStart w:id="172" w:name="_Toc76373909"/>
      <w:bookmarkStart w:id="173" w:name="_Toc9795"/>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11"/>
      <w:bookmarkStart w:id="178" w:name="_Toc20875"/>
      <w:bookmarkStart w:id="179" w:name="_Toc12647"/>
      <w:bookmarkStart w:id="180" w:name="_Toc16487"/>
      <w:bookmarkStart w:id="181" w:name="_Toc20258"/>
      <w:bookmarkStart w:id="182" w:name="_Toc76373910"/>
      <w:bookmarkStart w:id="183" w:name="_Toc492721039"/>
      <w:bookmarkStart w:id="184"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6151"/>
      <w:bookmarkStart w:id="187" w:name="_Toc4250"/>
      <w:bookmarkStart w:id="188" w:name="_Toc492721038"/>
      <w:bookmarkStart w:id="189" w:name="_Toc6217"/>
      <w:bookmarkStart w:id="190" w:name="_Toc19291"/>
      <w:bookmarkStart w:id="191" w:name="_Toc493178793"/>
      <w:bookmarkStart w:id="192" w:name="_Toc8925"/>
      <w:bookmarkStart w:id="193" w:name="_Toc76373912"/>
      <w:bookmarkStart w:id="194" w:name="_Toc20605"/>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F81040-F837-4D23-BA21-ADAD25244ADA}"/>
  </w:font>
  <w:font w:name="黑体">
    <w:panose1 w:val="02010609060101010101"/>
    <w:charset w:val="86"/>
    <w:family w:val="auto"/>
    <w:pitch w:val="default"/>
    <w:sig w:usb0="800002BF" w:usb1="38CF7CFA" w:usb2="00000016" w:usb3="00000000" w:csb0="00040001" w:csb1="00000000"/>
    <w:embedRegular r:id="rId2" w:fontKey="{A345CE12-8BA0-4A0D-B2F7-2F4B871657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73564F93-A6C8-4C7D-81BE-840CC7969C5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20629C74-3F59-454F-B77C-22300D95163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84BE0AE-A929-4EB7-B5A8-E232BC81EB39}"/>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9095809-7B2F-45A5-B8CE-8D4429104E15}"/>
  </w:font>
  <w:font w:name="方正黑体_GBK">
    <w:panose1 w:val="03000509000000000000"/>
    <w:charset w:val="86"/>
    <w:family w:val="script"/>
    <w:pitch w:val="default"/>
    <w:sig w:usb0="00000001" w:usb1="080E0000" w:usb2="00000000" w:usb3="00000000" w:csb0="00040000" w:csb1="00000000"/>
    <w:embedRegular r:id="rId7" w:fontKey="{F23937E5-E3C0-4D1B-979C-15F94E8C92FB}"/>
  </w:font>
  <w:font w:name="方正小标宋_GBK">
    <w:panose1 w:val="03000509000000000000"/>
    <w:charset w:val="86"/>
    <w:family w:val="script"/>
    <w:pitch w:val="default"/>
    <w:sig w:usb0="00000001" w:usb1="080E0000" w:usb2="00000000" w:usb3="00000000" w:csb0="00040000" w:csb1="00000000"/>
    <w:embedRegular r:id="rId8" w:fontKey="{D8A25B24-18D3-4F0B-8B5A-FBFED0F7FBE7}"/>
  </w:font>
  <w:font w:name="微软雅黑">
    <w:panose1 w:val="020B0503020204020204"/>
    <w:charset w:val="86"/>
    <w:family w:val="swiss"/>
    <w:pitch w:val="default"/>
    <w:sig w:usb0="80000287" w:usb1="2ACF3C50" w:usb2="00000016" w:usb3="00000000" w:csb0="0004001F" w:csb1="00000000"/>
    <w:embedRegular r:id="rId9" w:fontKey="{54955564-D358-4D85-A7DB-52DA1B9C30AE}"/>
  </w:font>
  <w:font w:name="仿宋">
    <w:panose1 w:val="02010609060101010101"/>
    <w:charset w:val="86"/>
    <w:family w:val="modern"/>
    <w:pitch w:val="default"/>
    <w:sig w:usb0="800002BF" w:usb1="38CF7CFA" w:usb2="00000016" w:usb3="00000000" w:csb0="00040001" w:csb1="00000000"/>
    <w:embedRegular r:id="rId10" w:fontKey="{02D3D754-F364-4466-9AF0-1450F5154147}"/>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EFF" w:usb1="C000785B" w:usb2="00000009" w:usb3="00000000" w:csb0="400001FF" w:csb1="FFFF0000"/>
    <w:embedRegular r:id="rId11" w:fontKey="{8E9CC17C-4218-43FA-85E9-229B4EAC46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76791"/>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AF5332"/>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28AD"/>
    <w:rsid w:val="05F67A4A"/>
    <w:rsid w:val="05FF7F4E"/>
    <w:rsid w:val="064825E9"/>
    <w:rsid w:val="06537889"/>
    <w:rsid w:val="066A323E"/>
    <w:rsid w:val="067E7172"/>
    <w:rsid w:val="068F1F89"/>
    <w:rsid w:val="06A43CD8"/>
    <w:rsid w:val="06B451CD"/>
    <w:rsid w:val="06B64A6C"/>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971F79"/>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545F57"/>
    <w:rsid w:val="0B796959"/>
    <w:rsid w:val="0B892BB1"/>
    <w:rsid w:val="0BA9238E"/>
    <w:rsid w:val="0BB023D2"/>
    <w:rsid w:val="0BC051FE"/>
    <w:rsid w:val="0BCD3A99"/>
    <w:rsid w:val="0C120997"/>
    <w:rsid w:val="0C48085D"/>
    <w:rsid w:val="0C5F69A3"/>
    <w:rsid w:val="0C715203"/>
    <w:rsid w:val="0C8B1EE6"/>
    <w:rsid w:val="0C9150D4"/>
    <w:rsid w:val="0C995743"/>
    <w:rsid w:val="0D33558B"/>
    <w:rsid w:val="0D3E2B45"/>
    <w:rsid w:val="0D443F35"/>
    <w:rsid w:val="0D595810"/>
    <w:rsid w:val="0D720DDD"/>
    <w:rsid w:val="0D951B17"/>
    <w:rsid w:val="0DD156F8"/>
    <w:rsid w:val="0DEA1BCB"/>
    <w:rsid w:val="0DEB5944"/>
    <w:rsid w:val="0E1D4451"/>
    <w:rsid w:val="0E211365"/>
    <w:rsid w:val="0E215089"/>
    <w:rsid w:val="0E386E38"/>
    <w:rsid w:val="0E701B98"/>
    <w:rsid w:val="0E772366"/>
    <w:rsid w:val="0E876A7E"/>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A97E33"/>
    <w:rsid w:val="13E52DC4"/>
    <w:rsid w:val="13F02804"/>
    <w:rsid w:val="140D0766"/>
    <w:rsid w:val="143E4A1F"/>
    <w:rsid w:val="147246C9"/>
    <w:rsid w:val="148B50A7"/>
    <w:rsid w:val="14922675"/>
    <w:rsid w:val="15604521"/>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5F6D12"/>
    <w:rsid w:val="18660A89"/>
    <w:rsid w:val="18893D8F"/>
    <w:rsid w:val="189A41EE"/>
    <w:rsid w:val="189C2FD9"/>
    <w:rsid w:val="189F7E47"/>
    <w:rsid w:val="18EC5D11"/>
    <w:rsid w:val="193150D2"/>
    <w:rsid w:val="193924DE"/>
    <w:rsid w:val="197B21F8"/>
    <w:rsid w:val="198738B2"/>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891DCC"/>
    <w:rsid w:val="1B972C67"/>
    <w:rsid w:val="1BA01B1B"/>
    <w:rsid w:val="1BA22B7C"/>
    <w:rsid w:val="1BC02864"/>
    <w:rsid w:val="1BC2379D"/>
    <w:rsid w:val="1BD45152"/>
    <w:rsid w:val="1BF41E67"/>
    <w:rsid w:val="1BFB7B06"/>
    <w:rsid w:val="1C273FEB"/>
    <w:rsid w:val="1C5841A4"/>
    <w:rsid w:val="1C5D5C5E"/>
    <w:rsid w:val="1C782A98"/>
    <w:rsid w:val="1C876497"/>
    <w:rsid w:val="1C9C4DED"/>
    <w:rsid w:val="1CAE4714"/>
    <w:rsid w:val="1CCD5614"/>
    <w:rsid w:val="1CE75D6B"/>
    <w:rsid w:val="1D4B1F5B"/>
    <w:rsid w:val="1D905BC0"/>
    <w:rsid w:val="1DDC235C"/>
    <w:rsid w:val="1E0868EA"/>
    <w:rsid w:val="1E1265D5"/>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A47E8B"/>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659B5"/>
    <w:rsid w:val="264E03C6"/>
    <w:rsid w:val="264F7508"/>
    <w:rsid w:val="2650413E"/>
    <w:rsid w:val="26A22CFA"/>
    <w:rsid w:val="26A52B54"/>
    <w:rsid w:val="26AC1A34"/>
    <w:rsid w:val="26B50445"/>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5D4D6E"/>
    <w:rsid w:val="28681C13"/>
    <w:rsid w:val="288527C5"/>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A945A8"/>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56AAC"/>
    <w:rsid w:val="315B58E2"/>
    <w:rsid w:val="315F792B"/>
    <w:rsid w:val="318850D4"/>
    <w:rsid w:val="31AD2A0C"/>
    <w:rsid w:val="31B934DF"/>
    <w:rsid w:val="31BF65A8"/>
    <w:rsid w:val="31C0486E"/>
    <w:rsid w:val="32240245"/>
    <w:rsid w:val="322A64C1"/>
    <w:rsid w:val="322E3DE8"/>
    <w:rsid w:val="324509C6"/>
    <w:rsid w:val="32777805"/>
    <w:rsid w:val="328C18BE"/>
    <w:rsid w:val="32F83B93"/>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4E97C37"/>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8E5251"/>
    <w:rsid w:val="39B06BEC"/>
    <w:rsid w:val="39B913C9"/>
    <w:rsid w:val="3A150057"/>
    <w:rsid w:val="3A3A4200"/>
    <w:rsid w:val="3A3F02FA"/>
    <w:rsid w:val="3A606BEE"/>
    <w:rsid w:val="3A61177C"/>
    <w:rsid w:val="3A614714"/>
    <w:rsid w:val="3A63223A"/>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C84D62"/>
    <w:rsid w:val="3EDC25BB"/>
    <w:rsid w:val="3F473ED8"/>
    <w:rsid w:val="3F4C367C"/>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723962"/>
    <w:rsid w:val="428E62C2"/>
    <w:rsid w:val="429A1049"/>
    <w:rsid w:val="42A12CB5"/>
    <w:rsid w:val="42A6360C"/>
    <w:rsid w:val="42D01A37"/>
    <w:rsid w:val="42DF6B1E"/>
    <w:rsid w:val="430A3B9B"/>
    <w:rsid w:val="433064B4"/>
    <w:rsid w:val="436874AB"/>
    <w:rsid w:val="43851473"/>
    <w:rsid w:val="43981822"/>
    <w:rsid w:val="43AA3272"/>
    <w:rsid w:val="43CC3AB9"/>
    <w:rsid w:val="43D81E7E"/>
    <w:rsid w:val="44460609"/>
    <w:rsid w:val="444F1A18"/>
    <w:rsid w:val="44586B8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190850"/>
    <w:rsid w:val="4726085D"/>
    <w:rsid w:val="474D668B"/>
    <w:rsid w:val="47AB562F"/>
    <w:rsid w:val="47B00DD6"/>
    <w:rsid w:val="47CA7D9C"/>
    <w:rsid w:val="47CC6A35"/>
    <w:rsid w:val="47D16F16"/>
    <w:rsid w:val="47D604EF"/>
    <w:rsid w:val="47F44954"/>
    <w:rsid w:val="48086251"/>
    <w:rsid w:val="4817039A"/>
    <w:rsid w:val="482268CA"/>
    <w:rsid w:val="487715FB"/>
    <w:rsid w:val="487E46E3"/>
    <w:rsid w:val="488345C4"/>
    <w:rsid w:val="48B12D0A"/>
    <w:rsid w:val="48B50468"/>
    <w:rsid w:val="48BF76AF"/>
    <w:rsid w:val="48D2515B"/>
    <w:rsid w:val="48E7672C"/>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7A3E56"/>
    <w:rsid w:val="500C5DEE"/>
    <w:rsid w:val="501E2A33"/>
    <w:rsid w:val="502B5150"/>
    <w:rsid w:val="50385B91"/>
    <w:rsid w:val="503F0BFC"/>
    <w:rsid w:val="507C6E09"/>
    <w:rsid w:val="50962F12"/>
    <w:rsid w:val="50BF40CD"/>
    <w:rsid w:val="50DB26D2"/>
    <w:rsid w:val="5106687C"/>
    <w:rsid w:val="51154388"/>
    <w:rsid w:val="51560A8C"/>
    <w:rsid w:val="51764AF1"/>
    <w:rsid w:val="518F39B2"/>
    <w:rsid w:val="519A1216"/>
    <w:rsid w:val="51B203BF"/>
    <w:rsid w:val="51BD541C"/>
    <w:rsid w:val="51CB0999"/>
    <w:rsid w:val="51EE6435"/>
    <w:rsid w:val="51F933F6"/>
    <w:rsid w:val="51FA1BF0"/>
    <w:rsid w:val="521A36CE"/>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C735ED"/>
    <w:rsid w:val="54CD67D6"/>
    <w:rsid w:val="54E148D5"/>
    <w:rsid w:val="54E3249D"/>
    <w:rsid w:val="54E832A8"/>
    <w:rsid w:val="54F975CB"/>
    <w:rsid w:val="552F56E3"/>
    <w:rsid w:val="55314FB7"/>
    <w:rsid w:val="555667CB"/>
    <w:rsid w:val="556F4DF0"/>
    <w:rsid w:val="55743B33"/>
    <w:rsid w:val="558275C0"/>
    <w:rsid w:val="55B7080C"/>
    <w:rsid w:val="55D27F53"/>
    <w:rsid w:val="55F3310C"/>
    <w:rsid w:val="55F34962"/>
    <w:rsid w:val="55F61D5C"/>
    <w:rsid w:val="56030598"/>
    <w:rsid w:val="56292132"/>
    <w:rsid w:val="56773459"/>
    <w:rsid w:val="567B67FA"/>
    <w:rsid w:val="5692745A"/>
    <w:rsid w:val="569C2F3C"/>
    <w:rsid w:val="56A569FC"/>
    <w:rsid w:val="56C90DDF"/>
    <w:rsid w:val="56E10D84"/>
    <w:rsid w:val="576839E9"/>
    <w:rsid w:val="57B5321B"/>
    <w:rsid w:val="57B607A7"/>
    <w:rsid w:val="57C40364"/>
    <w:rsid w:val="57D85BBE"/>
    <w:rsid w:val="5813243B"/>
    <w:rsid w:val="582F1C0E"/>
    <w:rsid w:val="58352333"/>
    <w:rsid w:val="58523BC2"/>
    <w:rsid w:val="5853126A"/>
    <w:rsid w:val="585B234B"/>
    <w:rsid w:val="58C6053D"/>
    <w:rsid w:val="591F781C"/>
    <w:rsid w:val="59314528"/>
    <w:rsid w:val="59374B66"/>
    <w:rsid w:val="593B465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1A029B"/>
    <w:rsid w:val="5B242EC8"/>
    <w:rsid w:val="5B261F2B"/>
    <w:rsid w:val="5B2B06FA"/>
    <w:rsid w:val="5B6A2566"/>
    <w:rsid w:val="5B8A1F1F"/>
    <w:rsid w:val="5BA66C84"/>
    <w:rsid w:val="5BA74539"/>
    <w:rsid w:val="5BB8371C"/>
    <w:rsid w:val="5C5D48E3"/>
    <w:rsid w:val="5C6D0DBF"/>
    <w:rsid w:val="5C7659A5"/>
    <w:rsid w:val="5C820917"/>
    <w:rsid w:val="5C961BA3"/>
    <w:rsid w:val="5CA7535F"/>
    <w:rsid w:val="5CB2531C"/>
    <w:rsid w:val="5CC67BF9"/>
    <w:rsid w:val="5CEB1EEF"/>
    <w:rsid w:val="5D013021"/>
    <w:rsid w:val="5D316CFC"/>
    <w:rsid w:val="5D6F0D72"/>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1E67129"/>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447172"/>
    <w:rsid w:val="6655487D"/>
    <w:rsid w:val="665C6CD5"/>
    <w:rsid w:val="666D7E19"/>
    <w:rsid w:val="6692787F"/>
    <w:rsid w:val="66927C84"/>
    <w:rsid w:val="66AB0941"/>
    <w:rsid w:val="66C21420"/>
    <w:rsid w:val="66C33EDD"/>
    <w:rsid w:val="66C51A03"/>
    <w:rsid w:val="66C8466B"/>
    <w:rsid w:val="66CA7019"/>
    <w:rsid w:val="66DF5748"/>
    <w:rsid w:val="671F2D63"/>
    <w:rsid w:val="672F1676"/>
    <w:rsid w:val="67550FD9"/>
    <w:rsid w:val="67606D46"/>
    <w:rsid w:val="6762365F"/>
    <w:rsid w:val="67B473BE"/>
    <w:rsid w:val="67CB129B"/>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663340"/>
    <w:rsid w:val="6CAA35A1"/>
    <w:rsid w:val="6CB57810"/>
    <w:rsid w:val="6CCE55B8"/>
    <w:rsid w:val="6CD65360"/>
    <w:rsid w:val="6D6825DF"/>
    <w:rsid w:val="6D6D06FE"/>
    <w:rsid w:val="6D8D644D"/>
    <w:rsid w:val="6DB90499"/>
    <w:rsid w:val="6DBB590E"/>
    <w:rsid w:val="6DC742B3"/>
    <w:rsid w:val="6DDC027E"/>
    <w:rsid w:val="6DDE33AA"/>
    <w:rsid w:val="6DE9315A"/>
    <w:rsid w:val="6DEA79AF"/>
    <w:rsid w:val="6DF51A12"/>
    <w:rsid w:val="6E2434B3"/>
    <w:rsid w:val="6E31797E"/>
    <w:rsid w:val="6E3C419C"/>
    <w:rsid w:val="6E535B46"/>
    <w:rsid w:val="6EB5235D"/>
    <w:rsid w:val="6EEA46FD"/>
    <w:rsid w:val="6EFD7CFF"/>
    <w:rsid w:val="6F0F4163"/>
    <w:rsid w:val="6F2A1881"/>
    <w:rsid w:val="6F2C44FC"/>
    <w:rsid w:val="6F477AF3"/>
    <w:rsid w:val="6FA3330D"/>
    <w:rsid w:val="6FB145A3"/>
    <w:rsid w:val="6FCD2479"/>
    <w:rsid w:val="6FD13561"/>
    <w:rsid w:val="6FEA4288"/>
    <w:rsid w:val="706F343A"/>
    <w:rsid w:val="70741C73"/>
    <w:rsid w:val="708E10B8"/>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3EF6311"/>
    <w:rsid w:val="74385FAF"/>
    <w:rsid w:val="74B150A3"/>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542C90"/>
    <w:rsid w:val="7780719D"/>
    <w:rsid w:val="77B23127"/>
    <w:rsid w:val="77D052FC"/>
    <w:rsid w:val="781535E1"/>
    <w:rsid w:val="782B3415"/>
    <w:rsid w:val="7855386E"/>
    <w:rsid w:val="78654DF4"/>
    <w:rsid w:val="78881AC3"/>
    <w:rsid w:val="78A77F37"/>
    <w:rsid w:val="78AC0D11"/>
    <w:rsid w:val="78DB3308"/>
    <w:rsid w:val="78FB3726"/>
    <w:rsid w:val="79037688"/>
    <w:rsid w:val="7915769B"/>
    <w:rsid w:val="7938796B"/>
    <w:rsid w:val="796C3F60"/>
    <w:rsid w:val="796F3ADB"/>
    <w:rsid w:val="79774D4A"/>
    <w:rsid w:val="798A1875"/>
    <w:rsid w:val="798B1C36"/>
    <w:rsid w:val="79A230A2"/>
    <w:rsid w:val="79C227D8"/>
    <w:rsid w:val="79C30024"/>
    <w:rsid w:val="79ED6E4F"/>
    <w:rsid w:val="79FB666F"/>
    <w:rsid w:val="79FF36E3"/>
    <w:rsid w:val="7A0C7938"/>
    <w:rsid w:val="7A147179"/>
    <w:rsid w:val="7A28432B"/>
    <w:rsid w:val="7A454EDD"/>
    <w:rsid w:val="7A6A4943"/>
    <w:rsid w:val="7A747570"/>
    <w:rsid w:val="7A9C7455"/>
    <w:rsid w:val="7AAD70B0"/>
    <w:rsid w:val="7AD4626C"/>
    <w:rsid w:val="7ADD6F62"/>
    <w:rsid w:val="7B3A2568"/>
    <w:rsid w:val="7B42562A"/>
    <w:rsid w:val="7B4C229B"/>
    <w:rsid w:val="7BEB5610"/>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244E09"/>
    <w:rsid w:val="7E2E3EDA"/>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4990</Words>
  <Characters>5092</Characters>
  <Lines>101</Lines>
  <Paragraphs>28</Paragraphs>
  <TotalTime>3</TotalTime>
  <ScaleCrop>false</ScaleCrop>
  <LinksUpToDate>false</LinksUpToDate>
  <CharactersWithSpaces>5192</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2026-06-30T01:40:38Z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82C2EA0F93ED4954BD93411BC017189A_13</vt:lpwstr>
  </property>
  <property fmtid="{D5CDD505-2E9C-101B-9397-08002B2CF9AE}" pid="4" name="KSOTemplateDocerSaveRecord">
    <vt:lpwstr>eyJoZGlkIjoiOWQ2ZWExMDIwMTAyNTlkY2I3MDQ0MGE2NzkwYzQ5NGQiLCJ1c2VySWQiOiIzNzExMDc3MzYifQ==</vt:lpwstr>
  </property>
</Properties>
</file>