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76373863"/>
      <w:bookmarkStart w:id="1" w:name="_Toc10059"/>
      <w:bookmarkStart w:id="2" w:name="_Toc13868"/>
      <w:bookmarkStart w:id="3" w:name="_Toc31066"/>
      <w:bookmarkStart w:id="4" w:name="_Toc1304"/>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22435"/>
      <w:bookmarkStart w:id="8" w:name="_Toc5909"/>
      <w:bookmarkStart w:id="9" w:name="_Toc15376"/>
      <w:bookmarkStart w:id="10" w:name="_Toc76373864"/>
      <w:bookmarkStart w:id="11" w:name="_Toc28264"/>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项目名称：颈椎前路钢板、连接杆(premier)等</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22129"/>
            <w:bookmarkStart w:id="15" w:name="_Toc76373865"/>
            <w:bookmarkStart w:id="16" w:name="_Toc18060"/>
            <w:bookmarkStart w:id="17" w:name="_Toc22707"/>
            <w:bookmarkStart w:id="18" w:name="_Toc5838"/>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27131930">
            <w:pPr>
              <w:widowControl/>
              <w:spacing w:line="400" w:lineRule="exact"/>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rPr>
              <w:t>颈椎前路钢板、连接杆(premier)等</w:t>
            </w:r>
          </w:p>
        </w:tc>
        <w:tc>
          <w:tcPr>
            <w:tcW w:w="1485" w:type="dxa"/>
            <w:shd w:val="clear" w:color="auto" w:fill="auto"/>
            <w:noWrap w:val="0"/>
            <w:vAlign w:val="center"/>
          </w:tcPr>
          <w:p w14:paraId="4FB0110B">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7BC9AA71">
            <w:pPr>
              <w:pStyle w:val="52"/>
              <w:spacing w:before="120" w:beforeLines="50" w:beforeAutospacing="0" w:after="0" w:afterAutospacing="0" w:line="400" w:lineRule="exact"/>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46E1E18E">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color w:val="auto"/>
                <w:sz w:val="24"/>
                <w:szCs w:val="24"/>
                <w:lang w:val="en-US" w:eastAsia="zh-CN"/>
              </w:rPr>
              <w:t>脊柱外科</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3226ECE6">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A22AB3A">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6504"/>
      <w:bookmarkStart w:id="20" w:name="_Toc10137"/>
      <w:bookmarkStart w:id="21" w:name="_Toc30358"/>
      <w:bookmarkStart w:id="22" w:name="_Toc3434"/>
      <w:bookmarkStart w:id="23" w:name="_Toc25496"/>
      <w:bookmarkStart w:id="24" w:name="_Toc7637386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脊柱外科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脊柱外科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脊柱外科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脊柱外科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768"/>
      <w:bookmarkStart w:id="36" w:name="_Toc18950"/>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bookmarkEnd w:id="192"/>
    </w:p>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4033"/>
      <w:bookmarkStart w:id="40" w:name="_Toc25272"/>
      <w:bookmarkStart w:id="41" w:name="_Toc14224"/>
      <w:bookmarkStart w:id="42" w:name="_Toc9714"/>
      <w:bookmarkStart w:id="43" w:name="_Toc763738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11474"/>
      <w:bookmarkStart w:id="48" w:name="_Toc3153"/>
      <w:bookmarkStart w:id="49" w:name="_Toc76373874"/>
      <w:bookmarkStart w:id="50" w:name="_Toc2599"/>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620"/>
      <w:bookmarkStart w:id="55" w:name="_Toc29225"/>
      <w:bookmarkStart w:id="56" w:name="_Toc76373876"/>
      <w:bookmarkStart w:id="57" w:name="_Toc30465"/>
      <w:bookmarkStart w:id="58" w:name="_Toc6355"/>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1CAE339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 法定临床适用范围</w:t>
      </w:r>
    </w:p>
    <w:p w14:paraId="3528E926">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配合脊柱前路内固定钢板螺钉系统，用于颈椎骨折、椎体滑脱、颈椎失稳、颈椎间盘突出疾病，完成椎间植骨融合、重建脊柱稳定。</w:t>
      </w:r>
    </w:p>
    <w:p w14:paraId="296AF07E">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 核心临床功能</w:t>
      </w:r>
    </w:p>
    <w:p w14:paraId="26E4B946">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 重建椎间隙高度与颈椎生理前凸</w:t>
      </w:r>
    </w:p>
    <w:p w14:paraId="3411E5C7">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椎间盘摘除后植入椎间隙，撑开塌陷椎间隙，恢复椎体原有高度；多梯度前凸角度规格匹配人体颈椎生理曲度，防止术后颈椎变直、神经根管狭窄、神经根卡压。</w:t>
      </w:r>
    </w:p>
    <w:p w14:paraId="30FEF3FB">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 提供植骨腔，促进骨性融合</w:t>
      </w:r>
    </w:p>
    <w:p w14:paraId="5BBE3F70">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融合器中空笼式结构，可填充自体碎骨、人工骨，增大骨与椎体终板接触面积，加速上下椎体骨性融合，消除椎间盘源性疼痛。</w:t>
      </w:r>
    </w:p>
    <w:p w14:paraId="48BEFCC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 即刻轴向支撑，降低沉降风险</w:t>
      </w:r>
    </w:p>
    <w:p w14:paraId="24B3DB69">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PEEK高强度笼体承担脊柱轴向载荷，上下表面防滑齿纹咬合椎体终板，防止融合器滑移、脱出；搭配前路钛板螺钉形成双重刚性固定，限制颈椎异常活动，为骨愈合提供稳定力学环境。</w:t>
      </w:r>
    </w:p>
    <w:p w14:paraId="6417CF04">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 适配前路微创操作</w:t>
      </w:r>
    </w:p>
    <w:p w14:paraId="543359D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解剖型流线轮廓，前端圆滑，适配颈椎前路小切口手术；规格覆盖高低宽窄多尺寸 ，适配C3-C7各节段、单/多节段减压融合。</w:t>
      </w:r>
    </w:p>
    <w:p w14:paraId="7A2C9B2B">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 降低远期植入物并发症</w:t>
      </w:r>
    </w:p>
    <w:p w14:paraId="6D302496">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PEEK材质无金属遮挡，术后复查CT/MRI无伪影；模量匹配骨骼，避免钛金属融合器常见的应力遮挡、终板吸收塌陷问题。</w:t>
      </w:r>
    </w:p>
    <w:p w14:paraId="25AF346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四、参数要求</w:t>
      </w:r>
    </w:p>
    <w:p w14:paraId="273B8FEF">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 高度规格：4mm～25mm，细分多档梯度，覆盖各类颈椎椎间隙高度</w:t>
      </w:r>
    </w:p>
    <w:p w14:paraId="4F7ADAC3">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 前凸角度规格：配套多梯度前凸角，包含4°、5°、8°、10°、12°、15°、18°、20°及以上角度规格，匹配不同患者颈椎曲度</w:t>
      </w:r>
    </w:p>
    <w:p w14:paraId="441661B5">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 配套组合</w:t>
      </w:r>
    </w:p>
    <w:p w14:paraId="13CEBEF2">
      <w:pPr>
        <w:pStyle w:val="168"/>
        <w:widowControl/>
        <w:numPr>
          <w:ilvl w:val="0"/>
          <w:numId w:val="0"/>
        </w:numPr>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配套颈椎前路钛钢板、锁定螺钉、连接杆系统，材质为医用钛合金，生物相容性好，固定强度高，支持单/多节段组合固定。</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072"/>
      <w:bookmarkStart w:id="63" w:name="_Toc15650"/>
      <w:bookmarkStart w:id="64" w:name="_Toc4791"/>
      <w:bookmarkStart w:id="65" w:name="_Toc17944"/>
      <w:bookmarkStart w:id="66" w:name="_Toc1768"/>
      <w:bookmarkStart w:id="67" w:name="_Toc76373878"/>
      <w:bookmarkStart w:id="68" w:name="_Toc24122"/>
      <w:bookmarkStart w:id="69" w:name="_Toc17524"/>
      <w:bookmarkStart w:id="70" w:name="_Toc7794"/>
      <w:bookmarkStart w:id="71" w:name="_Toc31843"/>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5959"/>
      <w:bookmarkStart w:id="74" w:name="_Toc29836"/>
      <w:bookmarkStart w:id="75" w:name="_Toc14311"/>
      <w:bookmarkStart w:id="76" w:name="_Toc9339"/>
      <w:bookmarkStart w:id="77" w:name="_Toc22561"/>
      <w:bookmarkStart w:id="78" w:name="_Toc76373879"/>
      <w:bookmarkStart w:id="79" w:name="_Toc30551"/>
      <w:bookmarkStart w:id="80" w:name="_Toc28942"/>
      <w:bookmarkStart w:id="81" w:name="_Toc16908"/>
      <w:bookmarkStart w:id="82" w:name="_Toc1352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0772"/>
      <w:bookmarkStart w:id="84" w:name="_Toc76373885"/>
      <w:bookmarkStart w:id="85" w:name="_Toc27737"/>
      <w:bookmarkStart w:id="86" w:name="_Toc27893"/>
      <w:bookmarkStart w:id="87" w:name="_Toc12384"/>
      <w:bookmarkStart w:id="88" w:name="_Toc20263"/>
      <w:bookmarkStart w:id="89" w:name="_Toc2258"/>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76373886"/>
      <w:bookmarkStart w:id="92" w:name="_Toc12712"/>
      <w:bookmarkStart w:id="93" w:name="_Toc11052"/>
      <w:bookmarkStart w:id="94" w:name="_Toc7115"/>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26754"/>
      <w:bookmarkStart w:id="98" w:name="_Toc19809"/>
      <w:bookmarkStart w:id="99" w:name="_Toc31293"/>
      <w:bookmarkStart w:id="100" w:name="_Toc76373887"/>
      <w:bookmarkStart w:id="101" w:name="_Toc13585"/>
      <w:bookmarkStart w:id="102" w:name="_Toc5535"/>
      <w:bookmarkStart w:id="103" w:name="_Toc914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5251"/>
      <w:bookmarkStart w:id="106" w:name="_Toc8546"/>
      <w:bookmarkStart w:id="107" w:name="_Toc76373889"/>
      <w:bookmarkStart w:id="108" w:name="_Toc16925"/>
      <w:bookmarkStart w:id="109" w:name="_Toc30068"/>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7443"/>
      <w:bookmarkStart w:id="114" w:name="_Toc76373890"/>
      <w:bookmarkStart w:id="115" w:name="_Toc26071"/>
      <w:bookmarkStart w:id="116" w:name="_Toc11654"/>
      <w:bookmarkStart w:id="117" w:name="_Toc2003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7646"/>
      <w:bookmarkStart w:id="121" w:name="_Toc10864"/>
      <w:bookmarkStart w:id="122" w:name="_Toc20391"/>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2975"/>
      <w:bookmarkStart w:id="132" w:name="_Toc19409"/>
      <w:bookmarkStart w:id="133" w:name="_Toc76373904"/>
      <w:bookmarkStart w:id="134" w:name="_Toc24088"/>
      <w:bookmarkStart w:id="135" w:name="_Toc10152"/>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6112"/>
      <w:bookmarkStart w:id="138" w:name="_Toc12863"/>
      <w:bookmarkStart w:id="139" w:name="_Toc76373907"/>
      <w:bookmarkStart w:id="140" w:name="_Toc11892"/>
      <w:bookmarkStart w:id="141" w:name="_Toc7750"/>
      <w:bookmarkStart w:id="142" w:name="_Toc25920"/>
      <w:bookmarkStart w:id="143" w:name="_Toc117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9"/>
      <w:bookmarkStart w:id="155" w:name="OLE_LINK6"/>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27306"/>
      <w:bookmarkStart w:id="165" w:name="_Toc76373909"/>
      <w:bookmarkStart w:id="166" w:name="_Toc21830"/>
      <w:bookmarkStart w:id="167" w:name="_Toc21431"/>
      <w:bookmarkStart w:id="168" w:name="_Toc493178790"/>
      <w:bookmarkStart w:id="169" w:name="_Toc9795"/>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6487"/>
      <w:bookmarkStart w:id="174" w:name="_Toc411"/>
      <w:bookmarkStart w:id="175" w:name="_Toc20258"/>
      <w:bookmarkStart w:id="176" w:name="_Toc20875"/>
      <w:bookmarkStart w:id="177" w:name="_Toc493178791"/>
      <w:bookmarkStart w:id="178" w:name="_Toc76373910"/>
      <w:bookmarkStart w:id="179" w:name="_Toc492721039"/>
      <w:bookmarkStart w:id="180" w:name="_Toc1264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493178793"/>
      <w:bookmarkStart w:id="183" w:name="_Toc4250"/>
      <w:bookmarkStart w:id="184" w:name="_Toc76373912"/>
      <w:bookmarkStart w:id="185" w:name="_Toc8925"/>
      <w:bookmarkStart w:id="186" w:name="_Toc20605"/>
      <w:bookmarkStart w:id="187" w:name="_Toc6217"/>
      <w:bookmarkStart w:id="188" w:name="_Toc19291"/>
      <w:bookmarkStart w:id="189" w:name="_Toc492721038"/>
      <w:bookmarkStart w:id="190" w:name="_Toc16151"/>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2FD98AF-B9BA-481D-AFEB-60A65613A053}"/>
  </w:font>
  <w:font w:name="黑体">
    <w:panose1 w:val="02010609060101010101"/>
    <w:charset w:val="86"/>
    <w:family w:val="auto"/>
    <w:pitch w:val="default"/>
    <w:sig w:usb0="800002BF" w:usb1="38CF7CFA" w:usb2="00000016" w:usb3="00000000" w:csb0="00040001" w:csb1="00000000"/>
    <w:embedRegular r:id="rId2" w:fontKey="{6439EB1E-E135-4284-B0AB-5A64BA68ED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77AFACE5-EC63-4372-B045-6B9EE4039F6A}"/>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0B8FC665-8147-48F3-8F2B-64A043B74D51}"/>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EF0B18A6-0769-4FF5-8335-1C32E80DF0E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0565FBD8-377B-4701-90CC-34F32FA4364B}"/>
  </w:font>
  <w:font w:name="方正黑体_GBK">
    <w:panose1 w:val="03000509000000000000"/>
    <w:charset w:val="86"/>
    <w:family w:val="script"/>
    <w:pitch w:val="default"/>
    <w:sig w:usb0="00000001" w:usb1="080E0000" w:usb2="00000000" w:usb3="00000000" w:csb0="00040000" w:csb1="00000000"/>
    <w:embedRegular r:id="rId7" w:fontKey="{A4F4522E-15FB-4ED8-855D-8839FB8A1A92}"/>
  </w:font>
  <w:font w:name="方正小标宋_GBK">
    <w:panose1 w:val="03000509000000000000"/>
    <w:charset w:val="86"/>
    <w:family w:val="script"/>
    <w:pitch w:val="default"/>
    <w:sig w:usb0="00000001" w:usb1="080E0000" w:usb2="00000000" w:usb3="00000000" w:csb0="00040000" w:csb1="00000000"/>
    <w:embedRegular r:id="rId8" w:fontKey="{3DF66505-5547-4CF9-A396-4595617CC2FB}"/>
  </w:font>
  <w:font w:name="微软雅黑">
    <w:panose1 w:val="020B0503020204020204"/>
    <w:charset w:val="86"/>
    <w:family w:val="swiss"/>
    <w:pitch w:val="default"/>
    <w:sig w:usb0="80000287" w:usb1="2ACF3C50" w:usb2="00000016" w:usb3="00000000" w:csb0="0004001F" w:csb1="00000000"/>
    <w:embedRegular r:id="rId9" w:fontKey="{2DBA294F-AFE6-491A-A438-30E494ED7EB2}"/>
  </w:font>
  <w:font w:name="仿宋">
    <w:panose1 w:val="02010609060101010101"/>
    <w:charset w:val="86"/>
    <w:family w:val="modern"/>
    <w:pitch w:val="default"/>
    <w:sig w:usb0="800002BF" w:usb1="38CF7CFA" w:usb2="00000016" w:usb3="00000000" w:csb0="00040001" w:csb1="00000000"/>
    <w:embedRegular r:id="rId10" w:fontKey="{6B306790-C0D1-4EE2-82D8-80A77C108159}"/>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365E15"/>
    <w:rsid w:val="1D4B1F5B"/>
    <w:rsid w:val="1D905BC0"/>
    <w:rsid w:val="1DDC235C"/>
    <w:rsid w:val="1E0868EA"/>
    <w:rsid w:val="1E1556E4"/>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3098</Words>
  <Characters>3187</Characters>
  <Lines>101</Lines>
  <Paragraphs>28</Paragraphs>
  <TotalTime>1</TotalTime>
  <ScaleCrop>false</ScaleCrop>
  <LinksUpToDate>false</LinksUpToDate>
  <CharactersWithSpaces>3279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2026-07-24T07:11:25Z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