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0059"/>
      <w:bookmarkStart w:id="1" w:name="_Toc1304"/>
      <w:bookmarkStart w:id="2" w:name="_Toc76373863"/>
      <w:bookmarkStart w:id="3" w:name="_Toc13868"/>
      <w:bookmarkStart w:id="4" w:name="_Toc31066"/>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bookmarkStart w:id="192" w:name="_GoBack"/>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5909"/>
      <w:bookmarkStart w:id="8" w:name="_Toc76373864"/>
      <w:bookmarkStart w:id="9" w:name="_Toc22435"/>
      <w:bookmarkStart w:id="10" w:name="_Toc28264"/>
      <w:bookmarkStart w:id="11" w:name="_Toc15376"/>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rPr>
        <w:t>项目名称：</w:t>
      </w:r>
      <w:r>
        <w:rPr>
          <w:rFonts w:hint="eastAsia" w:ascii="宋体" w:hAnsi="宋体" w:eastAsia="宋体" w:cs="宋体"/>
          <w:color w:val="auto"/>
          <w:kern w:val="2"/>
          <w:sz w:val="24"/>
          <w:szCs w:val="24"/>
          <w:lang w:val="en-US" w:eastAsia="zh-CN" w:bidi="ar-SA"/>
        </w:rPr>
        <w:t>植入式给药装置、一次性使用植入式给药装置专用针</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129"/>
            <w:bookmarkStart w:id="15" w:name="_Toc22707"/>
            <w:bookmarkStart w:id="16" w:name="_Toc5838"/>
            <w:bookmarkStart w:id="17" w:name="_Toc18060"/>
            <w:bookmarkStart w:id="18" w:name="_Toc76373865"/>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E44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314F9CF9">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2DA3C10B">
            <w:pPr>
              <w:keepNext w:val="0"/>
              <w:keepLines w:val="0"/>
              <w:widowControl/>
              <w:suppressLineNumbers w:val="0"/>
              <w:jc w:val="left"/>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植入式给药装置</w:t>
            </w:r>
          </w:p>
        </w:tc>
        <w:tc>
          <w:tcPr>
            <w:tcW w:w="1485" w:type="dxa"/>
            <w:shd w:val="clear" w:color="auto" w:fill="auto"/>
            <w:noWrap w:val="0"/>
            <w:vAlign w:val="center"/>
          </w:tcPr>
          <w:p w14:paraId="745A3842">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D28D5BF">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00FBB69D">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i w:val="0"/>
                <w:iCs w:val="0"/>
                <w:color w:val="auto"/>
                <w:kern w:val="0"/>
                <w:sz w:val="24"/>
                <w:szCs w:val="24"/>
                <w:u w:val="none"/>
                <w:lang w:val="en-US" w:eastAsia="zh-CN" w:bidi="ar"/>
              </w:rPr>
              <w:t>全院</w:t>
            </w:r>
          </w:p>
        </w:tc>
      </w:tr>
      <w:tr w14:paraId="1E0E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C8952AD">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包二</w:t>
            </w:r>
          </w:p>
        </w:tc>
        <w:tc>
          <w:tcPr>
            <w:tcW w:w="2298" w:type="dxa"/>
            <w:shd w:val="clear" w:color="auto" w:fill="auto"/>
            <w:noWrap w:val="0"/>
            <w:vAlign w:val="center"/>
          </w:tcPr>
          <w:p w14:paraId="33F4EB58">
            <w:pPr>
              <w:keepNext w:val="0"/>
              <w:keepLines w:val="0"/>
              <w:widowControl/>
              <w:suppressLineNumbers w:val="0"/>
              <w:jc w:val="left"/>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一次性使用植入式给药装置专用针</w:t>
            </w:r>
          </w:p>
        </w:tc>
        <w:tc>
          <w:tcPr>
            <w:tcW w:w="1485" w:type="dxa"/>
            <w:shd w:val="clear" w:color="auto" w:fill="auto"/>
            <w:noWrap w:val="0"/>
            <w:vAlign w:val="center"/>
          </w:tcPr>
          <w:p w14:paraId="3440B06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76E4D045">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67312C56">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i w:val="0"/>
                <w:iCs w:val="0"/>
                <w:color w:val="auto"/>
                <w:kern w:val="0"/>
                <w:sz w:val="24"/>
                <w:szCs w:val="24"/>
                <w:u w:val="none"/>
                <w:lang w:val="en-US" w:eastAsia="zh-CN" w:bidi="ar"/>
              </w:rPr>
              <w:t>全院</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注：1.该项目支持按照以上分包分别报名。</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3</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26ECE6">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.本项目是/否接受联合竞选：否</w:t>
      </w:r>
    </w:p>
    <w:p w14:paraId="1A22AB3A">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5.本项目为院内产品重招</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2"/>
        <w:rPr>
          <w:rFonts w:hint="eastAsia"/>
          <w:color w:val="auto"/>
        </w:rPr>
      </w:pPr>
      <w:bookmarkStart w:id="19" w:name="_Toc25496"/>
      <w:bookmarkStart w:id="20" w:name="_Toc10137"/>
      <w:bookmarkStart w:id="21" w:name="_Toc76373866"/>
      <w:bookmarkStart w:id="22" w:name="_Toc30358"/>
      <w:bookmarkStart w:id="23" w:name="_Toc3434"/>
      <w:bookmarkStart w:id="24" w:name="_Toc26504"/>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17341"/>
      <w:bookmarkStart w:id="29" w:name="_Toc6749"/>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全院</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全院</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全院</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全院</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768"/>
      <w:bookmarkStart w:id="36" w:name="_Toc18950"/>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bookmarkEnd w:id="192"/>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4033"/>
      <w:bookmarkStart w:id="40" w:name="_Toc25272"/>
      <w:bookmarkStart w:id="41" w:name="_Toc14224"/>
      <w:bookmarkStart w:id="42" w:name="_Toc76373872"/>
      <w:bookmarkStart w:id="43" w:name="_Toc9714"/>
      <w:bookmarkStart w:id="44" w:name="_Toc20138"/>
      <w:bookmarkStart w:id="45" w:name="_Toc21905"/>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13391"/>
      <w:bookmarkStart w:id="48" w:name="_Toc2599"/>
      <w:bookmarkStart w:id="49" w:name="_Toc11474"/>
      <w:bookmarkStart w:id="50" w:name="_Toc3153"/>
      <w:bookmarkStart w:id="51" w:name="_Toc76373874"/>
      <w:bookmarkStart w:id="52" w:name="_Toc25148"/>
      <w:bookmarkStart w:id="53" w:name="_Toc27187"/>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6355"/>
      <w:bookmarkStart w:id="55" w:name="_Toc76373876"/>
      <w:bookmarkStart w:id="56" w:name="_Toc29225"/>
      <w:bookmarkStart w:id="57" w:name="_Toc29620"/>
      <w:bookmarkStart w:id="58" w:name="_Toc30465"/>
      <w:bookmarkStart w:id="59" w:name="_Toc1955"/>
      <w:bookmarkStart w:id="60" w:name="_Toc13107"/>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700B02B5">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植入式给药装置（普通型）：</w:t>
      </w:r>
    </w:p>
    <w:p w14:paraId="18839C94">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1、适用于需要长期静脉治疗的患者，比如肿瘤患者化疗、免疫治疗、靶向治疗、输血、补液、营养支持治疗等。</w:t>
      </w:r>
    </w:p>
    <w:p w14:paraId="614FDCA0">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2、其构件包括港座、导管、植入过程所需要的全套附件。</w:t>
      </w:r>
    </w:p>
    <w:p w14:paraId="15484A4C">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3、有多种型号规格供患者选择。</w:t>
      </w:r>
    </w:p>
    <w:p w14:paraId="6802F088">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4、港座隔膜应能满足至少800次的无损伤针穿刺，且无液体渗漏。</w:t>
      </w:r>
    </w:p>
    <w:p w14:paraId="3845DB7F">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5、导管采用相容性好的柔软材质（如聚氨酯、硅胶等），且具有抗折性，有显影标记。</w:t>
      </w:r>
    </w:p>
    <w:p w14:paraId="6C2AE63E">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p>
    <w:p w14:paraId="7A79E5E7">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要求：</w:t>
      </w:r>
    </w:p>
    <w:p w14:paraId="0DA56444">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1.用于上臂、胸壁和腹腔的植入。</w:t>
      </w:r>
    </w:p>
    <w:p w14:paraId="40B66933">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2.导管：提供临床常用导管外径规格。</w:t>
      </w:r>
    </w:p>
    <w:p w14:paraId="13876EF4">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3.穿刺针：18-21G穿刺针。</w:t>
      </w:r>
    </w:p>
    <w:p w14:paraId="65270E9B">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4.导引导丝：直型或J型，直型导丝头端经软化处理</w:t>
      </w:r>
    </w:p>
    <w:p w14:paraId="41A23724">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5.支撑导丝:上臂置入须配备支撑导丝（长度≥600mm）。</w:t>
      </w:r>
    </w:p>
    <w:p w14:paraId="67DD79A0">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6.导管锁：透明锁扣</w:t>
      </w:r>
    </w:p>
    <w:p w14:paraId="193804FD">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7.按需配送穿刺包或护理包、导诊支架。</w:t>
      </w:r>
    </w:p>
    <w:p w14:paraId="18A55AF7">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p>
    <w:p w14:paraId="330C4B46">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植入式给药装置（耐高压型）：</w:t>
      </w:r>
    </w:p>
    <w:p w14:paraId="204BEE3E">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1.提供特殊规格（如14G、16G等），大孔径留置针，以确保管路通畅，安全型设计，配备防针刺伤保护机制。</w:t>
      </w:r>
    </w:p>
    <w:p w14:paraId="411A5D05">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2.针尖采用医用级不锈钢材料，斜面设计。</w:t>
      </w:r>
    </w:p>
    <w:p w14:paraId="6806B7E0">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3.导管采用柔软、高弹性材料（如聚氨酯、聚氯乙烯等），导管长度≥150mm，适应不同穿刺深度。</w:t>
      </w:r>
    </w:p>
    <w:p w14:paraId="226FD046">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4.无菌、无热源，一次性使用，独立密封包装。</w:t>
      </w:r>
    </w:p>
    <w:p w14:paraId="0AB5E7E2">
      <w:pPr>
        <w:pStyle w:val="31"/>
        <w:rPr>
          <w:rFonts w:hint="eastAsia" w:ascii="Times New Roman" w:hAnsi="Times New Roman" w:eastAsia="宋体" w:cs="Times New Roman"/>
          <w:b w:val="0"/>
          <w:bCs w:val="0"/>
          <w:color w:val="auto"/>
          <w:sz w:val="24"/>
          <w:szCs w:val="24"/>
          <w:lang w:val="en-US" w:eastAsia="zh-CN"/>
        </w:rPr>
      </w:pPr>
    </w:p>
    <w:p w14:paraId="76A6CAC2">
      <w:pPr>
        <w:spacing w:line="320" w:lineRule="exact"/>
        <w:ind w:left="479" w:leftChars="85" w:hanging="241" w:hangingChars="100"/>
        <w:jc w:val="left"/>
        <w:rPr>
          <w:rFonts w:hint="eastAsia" w:ascii="Times New Roman" w:hAnsi="Times New Roman" w:eastAsia="宋体"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w:t>
      </w:r>
    </w:p>
    <w:p w14:paraId="52D2CE10">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一次性使用植入式给药装置专用针</w:t>
      </w:r>
      <w:r>
        <w:rPr>
          <w:rFonts w:hint="eastAsia" w:ascii="Times New Roman" w:hAnsi="Times New Roman" w:cs="Times New Roman"/>
          <w:b w:val="0"/>
          <w:bCs w:val="0"/>
          <w:color w:val="auto"/>
          <w:sz w:val="24"/>
          <w:szCs w:val="24"/>
          <w:lang w:val="en-US" w:eastAsia="zh-CN"/>
        </w:rPr>
        <w:t>：</w:t>
      </w:r>
    </w:p>
    <w:p w14:paraId="264E93FC">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普通型：</w:t>
      </w:r>
    </w:p>
    <w:p w14:paraId="079411B8">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1、用于穿刺植入式静脉输液港进行输液、输血、抽血、造影剂注射等治疗的一次性使用无损伤针及其附件。</w:t>
      </w:r>
    </w:p>
    <w:p w14:paraId="3DCA65E9">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2、无菌，独立包装，一次性使用，方便固定。</w:t>
      </w:r>
    </w:p>
    <w:p w14:paraId="4B7F64C5">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3、穿刺针材质为医用级不锈钢,有足够的硬度和韧性，不易弯曲。</w:t>
      </w:r>
    </w:p>
    <w:p w14:paraId="58906D55">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4、连接管为医用级PVC或更高级的材料（如TPU）。</w:t>
      </w:r>
    </w:p>
    <w:p w14:paraId="0A34A0D7">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5、提供多种规格以满足不同的需求。</w:t>
      </w:r>
    </w:p>
    <w:p w14:paraId="584A8AC5">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安全型：</w:t>
      </w:r>
    </w:p>
    <w:p w14:paraId="5A969CE3">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1、满足以上条件。</w:t>
      </w:r>
    </w:p>
    <w:p w14:paraId="1901D17F">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2、具有防针刺保护装置</w:t>
      </w:r>
      <w:r>
        <w:rPr>
          <w:rFonts w:hint="eastAsia" w:ascii="Times New Roman" w:hAnsi="Times New Roman" w:cs="Times New Roman"/>
          <w:b w:val="0"/>
          <w:bCs w:val="0"/>
          <w:color w:val="auto"/>
          <w:sz w:val="24"/>
          <w:szCs w:val="24"/>
          <w:lang w:val="en-US" w:eastAsia="zh-CN"/>
        </w:rPr>
        <w:t>。</w:t>
      </w:r>
    </w:p>
    <w:p w14:paraId="6BD57247">
      <w:pPr>
        <w:pStyle w:val="23"/>
        <w:ind w:left="0" w:leftChars="0" w:firstLine="0" w:firstLineChars="0"/>
        <w:jc w:val="both"/>
        <w:rPr>
          <w:rFonts w:hint="default"/>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76373878"/>
      <w:bookmarkStart w:id="63" w:name="_Toc4791"/>
      <w:bookmarkStart w:id="64" w:name="_Toc1768"/>
      <w:bookmarkStart w:id="65" w:name="_Toc2072"/>
      <w:bookmarkStart w:id="66" w:name="_Toc24122"/>
      <w:bookmarkStart w:id="67" w:name="_Toc17524"/>
      <w:bookmarkStart w:id="68" w:name="_Toc15650"/>
      <w:bookmarkStart w:id="69" w:name="_Toc7794"/>
      <w:bookmarkStart w:id="70" w:name="_Toc31843"/>
      <w:bookmarkStart w:id="71" w:name="_Toc17944"/>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22561"/>
      <w:bookmarkStart w:id="74" w:name="_Toc76373879"/>
      <w:bookmarkStart w:id="75" w:name="_Toc14311"/>
      <w:bookmarkStart w:id="76" w:name="_Toc30551"/>
      <w:bookmarkStart w:id="77" w:name="_Toc29836"/>
      <w:bookmarkStart w:id="78" w:name="_Toc5959"/>
      <w:bookmarkStart w:id="79" w:name="_Toc9339"/>
      <w:bookmarkStart w:id="80" w:name="_Toc13528"/>
      <w:bookmarkStart w:id="81" w:name="_Toc28942"/>
      <w:bookmarkStart w:id="82"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76373885"/>
      <w:bookmarkStart w:id="84" w:name="_Toc12384"/>
      <w:bookmarkStart w:id="85" w:name="_Toc20263"/>
      <w:bookmarkStart w:id="86" w:name="_Toc2258"/>
      <w:bookmarkStart w:id="87" w:name="_Toc27737"/>
      <w:bookmarkStart w:id="88" w:name="_Toc27893"/>
      <w:bookmarkStart w:id="89" w:name="_Toc20772"/>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28189"/>
      <w:bookmarkStart w:id="91" w:name="_Toc7115"/>
      <w:bookmarkStart w:id="92" w:name="_Toc11052"/>
      <w:bookmarkStart w:id="93" w:name="_Toc76373886"/>
      <w:bookmarkStart w:id="94" w:name="_Toc12712"/>
      <w:bookmarkStart w:id="95" w:name="_Toc23699"/>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31293"/>
      <w:bookmarkStart w:id="98" w:name="_Toc19809"/>
      <w:bookmarkStart w:id="99" w:name="_Toc13585"/>
      <w:bookmarkStart w:id="100" w:name="_Toc76373887"/>
      <w:bookmarkStart w:id="101" w:name="_Toc26754"/>
      <w:bookmarkStart w:id="102" w:name="_Toc9147"/>
      <w:bookmarkStart w:id="103" w:name="_Toc5535"/>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5251"/>
      <w:bookmarkStart w:id="105" w:name="_Toc16925"/>
      <w:bookmarkStart w:id="106" w:name="_Toc76373889"/>
      <w:bookmarkStart w:id="107" w:name="_Toc8546"/>
      <w:bookmarkStart w:id="108" w:name="_Toc30068"/>
      <w:bookmarkStart w:id="109" w:name="_Toc2900"/>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20034"/>
      <w:bookmarkStart w:id="113" w:name="_Toc26071"/>
      <w:bookmarkStart w:id="114" w:name="_Toc11342"/>
      <w:bookmarkStart w:id="115" w:name="_Toc76373890"/>
      <w:bookmarkStart w:id="116" w:name="_Toc11654"/>
      <w:bookmarkStart w:id="117" w:name="_Toc27443"/>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7646"/>
      <w:bookmarkStart w:id="120" w:name="_Toc76373891"/>
      <w:bookmarkStart w:id="121" w:name="_Toc10864"/>
      <w:bookmarkStart w:id="122" w:name="_Toc20391"/>
      <w:bookmarkStart w:id="123" w:name="_Toc25199"/>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24088"/>
      <w:bookmarkStart w:id="132" w:name="_Toc10152"/>
      <w:bookmarkStart w:id="133" w:name="_Toc20762"/>
      <w:bookmarkStart w:id="134" w:name="_Toc19409"/>
      <w:bookmarkStart w:id="135" w:name="_Toc2975"/>
      <w:bookmarkStart w:id="136" w:name="_Toc76373904"/>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6112"/>
      <w:bookmarkStart w:id="138" w:name="_Toc11763"/>
      <w:bookmarkStart w:id="139" w:name="_Toc12863"/>
      <w:bookmarkStart w:id="140" w:name="_Toc25920"/>
      <w:bookmarkStart w:id="141" w:name="_Toc76373907"/>
      <w:bookmarkStart w:id="142" w:name="_Toc7750"/>
      <w:bookmarkStart w:id="143" w:name="_Toc11892"/>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10063"/>
      <w:bookmarkStart w:id="152" w:name="_Toc3094"/>
      <w:bookmarkStart w:id="153"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9"/>
      <w:bookmarkStart w:id="155" w:name="_Toc15483"/>
      <w:bookmarkStart w:id="156"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9795"/>
      <w:bookmarkStart w:id="165" w:name="_Toc76373909"/>
      <w:bookmarkStart w:id="166" w:name="_Toc21830"/>
      <w:bookmarkStart w:id="167" w:name="_Toc27306"/>
      <w:bookmarkStart w:id="168" w:name="_Toc21431"/>
      <w:bookmarkStart w:id="169" w:name="_Toc493178790"/>
      <w:bookmarkStart w:id="170" w:name="_Toc28644"/>
      <w:bookmarkStart w:id="171" w:name="_Toc23879"/>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20875"/>
      <w:bookmarkStart w:id="174" w:name="_Toc492721039"/>
      <w:bookmarkStart w:id="175" w:name="_Toc76373910"/>
      <w:bookmarkStart w:id="176" w:name="_Toc411"/>
      <w:bookmarkStart w:id="177" w:name="_Toc20258"/>
      <w:bookmarkStart w:id="178" w:name="_Toc16487"/>
      <w:bookmarkStart w:id="179" w:name="_Toc12647"/>
      <w:bookmarkStart w:id="180" w:name="_Toc49317879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19291"/>
      <w:bookmarkStart w:id="183" w:name="_Toc16151"/>
      <w:bookmarkStart w:id="184" w:name="_Toc493178793"/>
      <w:bookmarkStart w:id="185" w:name="_Toc4250"/>
      <w:bookmarkStart w:id="186" w:name="_Toc76373912"/>
      <w:bookmarkStart w:id="187" w:name="_Toc6217"/>
      <w:bookmarkStart w:id="188" w:name="_Toc492721038"/>
      <w:bookmarkStart w:id="189" w:name="_Toc20605"/>
      <w:bookmarkStart w:id="190" w:name="_Toc8925"/>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25A29EE-39C0-4368-A611-5F2C43FF363B}"/>
  </w:font>
  <w:font w:name="黑体">
    <w:panose1 w:val="02010609060101010101"/>
    <w:charset w:val="86"/>
    <w:family w:val="auto"/>
    <w:pitch w:val="default"/>
    <w:sig w:usb0="800002BF" w:usb1="38CF7CFA" w:usb2="00000016" w:usb3="00000000" w:csb0="00040001" w:csb1="00000000"/>
    <w:embedRegular r:id="rId2" w:fontKey="{D3917141-4AF7-458E-ADC3-813062BE6FF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2AAE8EF5-1766-411D-9B51-32D346D0A1C2}"/>
  </w:font>
  <w:font w:name="Arial Unicode MS">
    <w:panose1 w:val="020B0604020202020204"/>
    <w:charset w:val="86"/>
    <w:family w:val="roman"/>
    <w:pitch w:val="default"/>
    <w:sig w:usb0="FFFFFFFF" w:usb1="E9FFFFFF" w:usb2="0000003F" w:usb3="00000000" w:csb0="603F01FF" w:csb1="FFFF0000"/>
    <w:embedRegular r:id="rId4" w:fontKey="{AFD757BF-054E-45C1-A773-BFF7C007B16E}"/>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0C660B28-FEC4-432B-BF4A-D44BE17F59CF}"/>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550553A9-DBEB-421D-BDF7-5A5DA1F7DD89}"/>
  </w:font>
  <w:font w:name="方正黑体_GBK">
    <w:panose1 w:val="03000509000000000000"/>
    <w:charset w:val="86"/>
    <w:family w:val="script"/>
    <w:pitch w:val="default"/>
    <w:sig w:usb0="00000001" w:usb1="080E0000" w:usb2="00000000" w:usb3="00000000" w:csb0="00040000" w:csb1="00000000"/>
    <w:embedRegular r:id="rId7" w:fontKey="{96AECDED-166D-42CE-A443-28743341474D}"/>
  </w:font>
  <w:font w:name="方正小标宋_GBK">
    <w:panose1 w:val="03000509000000000000"/>
    <w:charset w:val="86"/>
    <w:family w:val="script"/>
    <w:pitch w:val="default"/>
    <w:sig w:usb0="00000001" w:usb1="080E0000" w:usb2="00000000" w:usb3="00000000" w:csb0="00040000" w:csb1="00000000"/>
    <w:embedRegular r:id="rId8" w:fontKey="{F0803BC5-AB99-4E1E-8CC6-4109C1553183}"/>
  </w:font>
  <w:font w:name="微软雅黑">
    <w:panose1 w:val="020B0503020204020204"/>
    <w:charset w:val="86"/>
    <w:family w:val="swiss"/>
    <w:pitch w:val="default"/>
    <w:sig w:usb0="80000287" w:usb1="2ACF3C50" w:usb2="00000016" w:usb3="00000000" w:csb0="0004001F" w:csb1="00000000"/>
    <w:embedRegular r:id="rId9" w:fontKey="{726F9C4A-B504-4D53-A430-30D18DB3C7BF}"/>
  </w:font>
  <w:font w:name="仿宋">
    <w:panose1 w:val="02010609060101010101"/>
    <w:charset w:val="86"/>
    <w:family w:val="modern"/>
    <w:pitch w:val="default"/>
    <w:sig w:usb0="800002BF" w:usb1="38CF7CFA" w:usb2="00000016" w:usb3="00000000" w:csb0="00040001" w:csb1="00000000"/>
    <w:embedRegular r:id="rId10" w:fontKey="{28E07C3A-BFA1-4EE5-A13B-69EC8748CD27}"/>
  </w:font>
  <w:font w:name="WPSEMBED18">
    <w:panose1 w:val="03000509000000000000"/>
    <w:charset w:val="86"/>
    <w:family w:val="auto"/>
    <w:pitch w:val="default"/>
    <w:sig w:usb0="00000001" w:usb1="080E0000" w:usb2="00000000" w:usb3="00000000" w:csb0="00040000" w:csb1="00000000"/>
  </w:font>
  <w:font w:name="WPSEMBED19">
    <w:panose1 w:val="03000509000000000000"/>
    <w:charset w:val="86"/>
    <w:family w:val="auto"/>
    <w:pitch w:val="default"/>
    <w:sig w:usb0="00000001" w:usb1="080E0000" w:usb2="00000000" w:usb3="00000000" w:csb0="00040000" w:csb1="00000000"/>
  </w:font>
  <w:font w:name="WPSEMBED16">
    <w:panose1 w:val="02010609030101010101"/>
    <w:charset w:val="86"/>
    <w:family w:val="auto"/>
    <w:pitch w:val="default"/>
    <w:sig w:usb0="00000001" w:usb1="080E0000" w:usb2="00000000" w:usb3="00000000" w:csb0="00040000" w:csb1="00000000"/>
  </w:font>
  <w:font w:name="WPSEMBED20">
    <w:panose1 w:val="03000509000000000000"/>
    <w:charset w:val="86"/>
    <w:family w:val="auto"/>
    <w:pitch w:val="default"/>
    <w:sig w:usb0="00000001" w:usb1="080E0000" w:usb2="00000000" w:usb3="00000000" w:csb0="00040000" w:csb1="00000000"/>
  </w:font>
  <w:font w:name="WPSEMBED17">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3B211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3100</Words>
  <Characters>3222</Characters>
  <Lines>101</Lines>
  <Paragraphs>28</Paragraphs>
  <TotalTime>0</TotalTime>
  <ScaleCrop>false</ScaleCrop>
  <LinksUpToDate>false</LinksUpToDate>
  <CharactersWithSpaces>3314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2026-07-24T07:38:55Z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