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304"/>
      <w:bookmarkStart w:id="1" w:name="_Toc31066"/>
      <w:bookmarkStart w:id="2" w:name="_Toc13868"/>
      <w:bookmarkStart w:id="3" w:name="_Toc10059"/>
      <w:bookmarkStart w:id="4" w:name="_Toc76373863"/>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6417"/>
      <w:bookmarkStart w:id="6" w:name="_Toc10781"/>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15376"/>
      <w:bookmarkStart w:id="8" w:name="_Toc22435"/>
      <w:bookmarkStart w:id="9" w:name="_Toc76373864"/>
      <w:bookmarkStart w:id="10" w:name="_Toc28264"/>
      <w:bookmarkStart w:id="11" w:name="_Toc5909"/>
      <w:bookmarkStart w:id="12" w:name="_Toc11603"/>
      <w:bookmarkStart w:id="13" w:name="_Toc17192"/>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58119EF9">
      <w:pPr>
        <w:widowControl/>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项目名称：</w:t>
      </w:r>
      <w:r>
        <w:rPr>
          <w:rFonts w:hint="eastAsia" w:ascii="宋体" w:hAnsi="宋体" w:eastAsia="宋体" w:cs="宋体"/>
          <w:sz w:val="22"/>
          <w:szCs w:val="22"/>
          <w:vertAlign w:val="baseline"/>
          <w:lang w:val="en-US" w:eastAsia="zh-CN"/>
        </w:rPr>
        <w:t>卫生湿巾</w:t>
      </w:r>
      <w:r>
        <w:rPr>
          <w:rFonts w:hint="eastAsia" w:ascii="宋体" w:hAnsi="宋体" w:cs="宋体"/>
          <w:sz w:val="22"/>
          <w:szCs w:val="22"/>
          <w:vertAlign w:val="baseline"/>
          <w:lang w:val="en-US" w:eastAsia="zh-CN"/>
        </w:rPr>
        <w:t>、</w:t>
      </w:r>
      <w:r>
        <w:rPr>
          <w:rFonts w:hint="eastAsia" w:ascii="宋体" w:hAnsi="宋体" w:eastAsia="宋体" w:cs="宋体"/>
          <w:i w:val="0"/>
          <w:iCs w:val="0"/>
          <w:color w:val="000000"/>
          <w:kern w:val="0"/>
          <w:sz w:val="22"/>
          <w:szCs w:val="22"/>
          <w:u w:val="none"/>
          <w:lang w:val="en-US" w:eastAsia="zh-CN" w:bidi="ar"/>
        </w:rPr>
        <w:t>中心静脉导管套件</w:t>
      </w:r>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76373865"/>
            <w:bookmarkStart w:id="15" w:name="_Toc5838"/>
            <w:bookmarkStart w:id="16" w:name="_Toc22129"/>
            <w:bookmarkStart w:id="17" w:name="_Toc22707"/>
            <w:bookmarkStart w:id="18" w:name="_Toc18060"/>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shd w:val="clear"/>
            <w:noWrap w:val="0"/>
            <w:vAlign w:val="center"/>
          </w:tcPr>
          <w:p w14:paraId="0A399A3F">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bookmarkStart w:id="192" w:name="_GoBack"/>
            <w:bookmarkEnd w:id="192"/>
            <w:r>
              <w:rPr>
                <w:rFonts w:hint="eastAsia" w:ascii="宋体" w:hAnsi="宋体" w:eastAsia="宋体" w:cs="宋体"/>
                <w:color w:val="auto"/>
                <w:kern w:val="2"/>
                <w:sz w:val="24"/>
                <w:szCs w:val="24"/>
                <w:lang w:val="en-US" w:eastAsia="zh-CN" w:bidi="ar-SA"/>
              </w:rPr>
              <w:t>需求科室</w:t>
            </w:r>
          </w:p>
        </w:tc>
      </w:tr>
      <w:tr w14:paraId="2C40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6B50BEBF">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一</w:t>
            </w:r>
          </w:p>
        </w:tc>
        <w:tc>
          <w:tcPr>
            <w:tcW w:w="2298" w:type="dxa"/>
            <w:shd w:val="clear" w:color="auto" w:fill="auto"/>
            <w:noWrap w:val="0"/>
            <w:vAlign w:val="center"/>
          </w:tcPr>
          <w:p w14:paraId="27131930">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sz w:val="22"/>
                <w:szCs w:val="22"/>
                <w:vertAlign w:val="baseline"/>
                <w:lang w:val="en-US" w:eastAsia="zh-CN"/>
              </w:rPr>
              <w:t>卫生湿巾</w:t>
            </w:r>
          </w:p>
        </w:tc>
        <w:tc>
          <w:tcPr>
            <w:tcW w:w="1485" w:type="dxa"/>
            <w:shd w:val="clear" w:color="auto" w:fill="auto"/>
            <w:noWrap w:val="0"/>
            <w:vAlign w:val="center"/>
          </w:tcPr>
          <w:p w14:paraId="4FB0110B">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按实结算</w:t>
            </w:r>
          </w:p>
        </w:tc>
        <w:tc>
          <w:tcPr>
            <w:tcW w:w="1594" w:type="dxa"/>
            <w:shd w:val="clear"/>
            <w:noWrap w:val="0"/>
            <w:vAlign w:val="center"/>
          </w:tcPr>
          <w:p w14:paraId="3CC22964">
            <w:pPr>
              <w:pStyle w:val="52"/>
              <w:spacing w:before="120" w:beforeLines="50" w:beforeAutospacing="0" w:after="0" w:afterAutospacing="0" w:line="400" w:lineRule="exact"/>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2"/>
                <w:sz w:val="24"/>
                <w:szCs w:val="24"/>
                <w:lang w:val="en-US" w:eastAsia="zh-CN" w:bidi="ar-SA"/>
              </w:rPr>
              <w:t>1-2</w:t>
            </w:r>
          </w:p>
        </w:tc>
        <w:tc>
          <w:tcPr>
            <w:tcW w:w="1594" w:type="dxa"/>
            <w:noWrap w:val="0"/>
            <w:vAlign w:val="center"/>
          </w:tcPr>
          <w:p w14:paraId="46E1E18E">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肾内科、呼吸内科、耳鼻喉科和重症医学科</w:t>
            </w:r>
          </w:p>
        </w:tc>
      </w:tr>
      <w:tr w14:paraId="53344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6C0988DF">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二</w:t>
            </w:r>
          </w:p>
        </w:tc>
        <w:tc>
          <w:tcPr>
            <w:tcW w:w="2298" w:type="dxa"/>
            <w:shd w:val="clear" w:color="auto" w:fill="auto"/>
            <w:noWrap w:val="0"/>
            <w:vAlign w:val="center"/>
          </w:tcPr>
          <w:p w14:paraId="6C8B3BA2">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000000"/>
                <w:kern w:val="0"/>
                <w:sz w:val="22"/>
                <w:szCs w:val="22"/>
                <w:u w:val="none"/>
                <w:lang w:val="en-US" w:eastAsia="zh-CN" w:bidi="ar"/>
              </w:rPr>
              <w:t>中心静脉导管套件</w:t>
            </w:r>
          </w:p>
        </w:tc>
        <w:tc>
          <w:tcPr>
            <w:tcW w:w="1485" w:type="dxa"/>
            <w:shd w:val="clear" w:color="auto" w:fill="auto"/>
            <w:noWrap w:val="0"/>
            <w:vAlign w:val="center"/>
          </w:tcPr>
          <w:p w14:paraId="161A0035">
            <w:pPr>
              <w:widowControl/>
              <w:spacing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按实结算</w:t>
            </w:r>
          </w:p>
        </w:tc>
        <w:tc>
          <w:tcPr>
            <w:tcW w:w="1594" w:type="dxa"/>
            <w:shd w:val="clear"/>
            <w:noWrap w:val="0"/>
            <w:vAlign w:val="center"/>
          </w:tcPr>
          <w:p w14:paraId="16EC220C">
            <w:pPr>
              <w:widowControl/>
              <w:spacing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w:t>
            </w:r>
          </w:p>
        </w:tc>
        <w:tc>
          <w:tcPr>
            <w:tcW w:w="1594" w:type="dxa"/>
            <w:noWrap w:val="0"/>
            <w:vAlign w:val="center"/>
          </w:tcPr>
          <w:p w14:paraId="7A7B3B98">
            <w:pPr>
              <w:widowControl/>
              <w:spacing w:line="400" w:lineRule="exact"/>
              <w:jc w:val="center"/>
              <w:rPr>
                <w:rFonts w:hint="eastAsia" w:ascii="宋体" w:hAnsi="宋体" w:cs="宋体"/>
                <w:color w:val="auto"/>
                <w:sz w:val="24"/>
                <w:szCs w:val="24"/>
                <w:lang w:val="en-US" w:eastAsia="zh-CN"/>
              </w:rPr>
            </w:pPr>
            <w:r>
              <w:rPr>
                <w:rFonts w:hint="eastAsia" w:ascii="宋体" w:hAnsi="宋体" w:eastAsia="宋体" w:cs="宋体"/>
                <w:color w:val="auto"/>
                <w:sz w:val="24"/>
                <w:szCs w:val="24"/>
                <w:lang w:val="en-US" w:eastAsia="zh-CN"/>
              </w:rPr>
              <w:t>肾内科</w:t>
            </w:r>
          </w:p>
        </w:tc>
      </w:tr>
    </w:tbl>
    <w:p w14:paraId="40D11194">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注：1.</w:t>
      </w:r>
      <w:r>
        <w:rPr>
          <w:rFonts w:hint="eastAsia" w:ascii="宋体" w:hAnsi="宋体" w:cs="宋体"/>
          <w:color w:val="auto"/>
          <w:sz w:val="24"/>
          <w:szCs w:val="24"/>
          <w:lang w:eastAsia="zh-CN"/>
        </w:rPr>
        <w:t>该项目支持按照</w:t>
      </w:r>
      <w:r>
        <w:rPr>
          <w:rFonts w:hint="eastAsia" w:ascii="宋体" w:hAnsi="宋体" w:cs="宋体"/>
          <w:color w:val="auto"/>
          <w:sz w:val="24"/>
          <w:szCs w:val="24"/>
          <w:lang w:val="en-US" w:eastAsia="zh-CN"/>
        </w:rPr>
        <w:t>以上</w:t>
      </w:r>
      <w:r>
        <w:rPr>
          <w:rFonts w:hint="eastAsia" w:ascii="宋体" w:hAnsi="宋体" w:cs="宋体"/>
          <w:color w:val="auto"/>
          <w:sz w:val="24"/>
          <w:szCs w:val="24"/>
          <w:lang w:eastAsia="zh-CN"/>
        </w:rPr>
        <w:t>分包分别报名。</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3</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3226ECE6">
      <w:pPr>
        <w:pStyle w:val="2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.本项目是/否接受联合竞选：否</w:t>
      </w:r>
    </w:p>
    <w:p w14:paraId="1A22AB3A">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5.本项目为院内产品重招</w:t>
      </w:r>
    </w:p>
    <w:p w14:paraId="0A4C3E50">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2"/>
        <w:rPr>
          <w:rFonts w:hint="eastAsia"/>
          <w:color w:val="auto"/>
        </w:rPr>
      </w:pPr>
      <w:bookmarkStart w:id="19" w:name="_Toc25496"/>
      <w:bookmarkStart w:id="20" w:name="_Toc10137"/>
      <w:bookmarkStart w:id="21" w:name="_Toc26504"/>
      <w:bookmarkStart w:id="22" w:name="_Toc76373866"/>
      <w:bookmarkStart w:id="23" w:name="_Toc3434"/>
      <w:bookmarkStart w:id="24" w:name="_Toc30358"/>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6749"/>
      <w:bookmarkStart w:id="29" w:name="_Toc17341"/>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0"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1" w:name="OLE_LINK1"/>
      <w:r>
        <w:rPr>
          <w:rFonts w:hint="default" w:ascii="Times New Roman" w:hAnsi="Times New Roman" w:cs="Times New Roman"/>
          <w:b w:val="0"/>
          <w:bCs/>
          <w:color w:val="auto"/>
          <w:kern w:val="0"/>
          <w:sz w:val="24"/>
          <w:szCs w:val="24"/>
          <w:u w:val="single"/>
        </w:rPr>
        <w:t>3474005023@qq.com</w:t>
      </w:r>
      <w:bookmarkEnd w:id="31"/>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肾内科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肾内科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2" w:name="OLE_LINK2"/>
      <w:r>
        <w:rPr>
          <w:rFonts w:hint="default" w:ascii="Times New Roman" w:hAnsi="Times New Roman" w:cs="Times New Roman"/>
          <w:b w:val="0"/>
          <w:bCs/>
          <w:color w:val="auto"/>
          <w:kern w:val="0"/>
          <w:sz w:val="24"/>
          <w:szCs w:val="24"/>
          <w:lang w:val="en-US" w:eastAsia="zh-CN"/>
        </w:rPr>
        <w:t>PDF文档</w:t>
      </w:r>
      <w:bookmarkEnd w:id="32"/>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肾内科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肾内科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3"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4"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4"/>
      <w:r>
        <w:rPr>
          <w:rFonts w:hint="eastAsia" w:ascii="宋体" w:hAnsi="宋体" w:eastAsia="宋体" w:cs="宋体"/>
          <w:color w:val="auto"/>
          <w:sz w:val="24"/>
          <w:szCs w:val="24"/>
          <w:lang w:eastAsia="zh-CN"/>
        </w:rPr>
        <w:t>。</w:t>
      </w:r>
      <w:bookmarkEnd w:id="33"/>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5" w:name="_Toc18950"/>
      <w:bookmarkStart w:id="36" w:name="_Toc768"/>
      <w:r>
        <w:rPr>
          <w:rFonts w:hint="eastAsia" w:ascii="宋体" w:hAnsi="宋体" w:cs="宋体"/>
          <w:b/>
          <w:color w:val="auto"/>
          <w:sz w:val="24"/>
        </w:rPr>
        <w:t>五、竞选文件递交与采购谈判时间、地点</w:t>
      </w:r>
      <w:bookmarkEnd w:id="35"/>
      <w:bookmarkEnd w:id="36"/>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37" w:name="_Toc829"/>
      <w:r>
        <w:rPr>
          <w:rFonts w:hint="eastAsia" w:ascii="宋体" w:hAnsi="宋体" w:cs="宋体"/>
          <w:b/>
          <w:color w:val="auto"/>
          <w:sz w:val="24"/>
        </w:rPr>
        <w:t>六、联系方式</w:t>
      </w:r>
      <w:bookmarkEnd w:id="30"/>
      <w:bookmarkEnd w:id="37"/>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E97D7EF">
      <w:pPr>
        <w:widowControl/>
        <w:spacing w:line="400" w:lineRule="exact"/>
        <w:ind w:firstLine="480" w:firstLineChars="200"/>
        <w:rPr>
          <w:rFonts w:hint="default" w:ascii="宋体" w:hAnsi="宋体" w:eastAsia="宋体" w:cs="宋体"/>
          <w:color w:val="auto"/>
          <w:sz w:val="24"/>
          <w:szCs w:val="24"/>
          <w:lang w:val="en-US" w:eastAsia="zh-CN"/>
        </w:rPr>
      </w:pPr>
      <w:bookmarkStart w:id="38" w:name="_Toc869"/>
      <w:r>
        <w:rPr>
          <w:rFonts w:hint="eastAsia" w:ascii="宋体" w:hAnsi="宋体" w:cs="宋体"/>
          <w:color w:val="auto"/>
          <w:sz w:val="24"/>
          <w:szCs w:val="24"/>
        </w:rPr>
        <w:t>项目联系人电话：</w:t>
      </w:r>
      <w:bookmarkEnd w:id="38"/>
      <w:r>
        <w:rPr>
          <w:rFonts w:hint="eastAsia" w:ascii="宋体" w:hAnsi="宋体" w:cs="宋体"/>
          <w:color w:val="auto"/>
          <w:sz w:val="24"/>
          <w:szCs w:val="24"/>
          <w:lang w:val="en-US" w:eastAsia="zh-CN"/>
        </w:rPr>
        <w:t>023-63693920</w:t>
      </w:r>
    </w:p>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39" w:name="_Toc25272"/>
      <w:bookmarkStart w:id="40" w:name="_Toc4033"/>
      <w:bookmarkStart w:id="41" w:name="_Toc76373872"/>
      <w:bookmarkStart w:id="42" w:name="_Toc14224"/>
      <w:bookmarkStart w:id="43" w:name="_Toc9714"/>
      <w:bookmarkStart w:id="44" w:name="_Toc20138"/>
      <w:bookmarkStart w:id="45" w:name="_Toc21905"/>
      <w:r>
        <w:rPr>
          <w:rFonts w:hint="eastAsia" w:ascii="宋体" w:hAnsi="宋体" w:cs="宋体"/>
          <w:b/>
          <w:color w:val="auto"/>
          <w:szCs w:val="36"/>
        </w:rPr>
        <w:t xml:space="preserve">第二篇 </w:t>
      </w:r>
      <w:bookmarkEnd w:id="39"/>
      <w:bookmarkEnd w:id="40"/>
      <w:bookmarkEnd w:id="41"/>
      <w:bookmarkEnd w:id="42"/>
      <w:bookmarkEnd w:id="43"/>
      <w:r>
        <w:rPr>
          <w:rFonts w:hint="eastAsia" w:ascii="宋体" w:hAnsi="宋体" w:cs="宋体"/>
          <w:b/>
          <w:color w:val="auto"/>
          <w:szCs w:val="36"/>
        </w:rPr>
        <w:t>技术（质量）与商务需求</w:t>
      </w:r>
      <w:bookmarkEnd w:id="44"/>
      <w:bookmarkEnd w:id="45"/>
    </w:p>
    <w:p w14:paraId="26427D13">
      <w:pPr>
        <w:widowControl/>
        <w:spacing w:before="120" w:beforeLines="50" w:line="360" w:lineRule="exact"/>
        <w:outlineLvl w:val="1"/>
        <w:rPr>
          <w:rFonts w:hint="default"/>
          <w:lang w:val="en-US" w:eastAsia="zh-CN"/>
        </w:rPr>
      </w:pPr>
      <w:bookmarkStart w:id="46" w:name="_Toc32286"/>
      <w:r>
        <w:rPr>
          <w:rFonts w:hint="eastAsia" w:cs="宋体"/>
          <w:b/>
          <w:color w:val="auto"/>
          <w:sz w:val="24"/>
        </w:rPr>
        <w:t>一、</w:t>
      </w:r>
      <w:bookmarkStart w:id="47" w:name="_Toc2599"/>
      <w:bookmarkStart w:id="48" w:name="_Toc11474"/>
      <w:bookmarkStart w:id="49" w:name="_Toc13391"/>
      <w:bookmarkStart w:id="50" w:name="_Toc3153"/>
      <w:bookmarkStart w:id="51" w:name="_Toc76373874"/>
      <w:bookmarkStart w:id="52" w:name="_Toc27187"/>
      <w:bookmarkStart w:id="53" w:name="_Toc25148"/>
      <w:r>
        <w:rPr>
          <w:rFonts w:hint="eastAsia" w:cs="宋体"/>
          <w:b/>
          <w:color w:val="auto"/>
          <w:sz w:val="24"/>
        </w:rPr>
        <w:t>技术需求</w:t>
      </w:r>
      <w:bookmarkEnd w:id="47"/>
      <w:bookmarkEnd w:id="48"/>
      <w:bookmarkEnd w:id="49"/>
      <w:bookmarkEnd w:id="50"/>
      <w:bookmarkEnd w:id="51"/>
      <w:r>
        <w:rPr>
          <w:rFonts w:hint="eastAsia" w:cs="宋体"/>
          <w:b/>
          <w:color w:val="auto"/>
          <w:sz w:val="24"/>
        </w:rPr>
        <w:t>（含技术参数）</w:t>
      </w:r>
      <w:bookmarkEnd w:id="46"/>
      <w:bookmarkEnd w:id="52"/>
      <w:bookmarkEnd w:id="53"/>
      <w:bookmarkStart w:id="54" w:name="_Toc76373876"/>
      <w:bookmarkStart w:id="55" w:name="_Toc30465"/>
      <w:bookmarkStart w:id="56" w:name="_Toc6355"/>
      <w:bookmarkStart w:id="57" w:name="_Toc29620"/>
      <w:bookmarkStart w:id="58" w:name="_Toc29225"/>
      <w:bookmarkStart w:id="59" w:name="_Toc1955"/>
      <w:bookmarkStart w:id="60" w:name="_Toc13107"/>
    </w:p>
    <w:p w14:paraId="136CA2BC">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3B3E4AFF">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功能简介：适用于医院内部环境物体表面的日常清洁杀菌。</w:t>
      </w:r>
    </w:p>
    <w:p w14:paraId="3ACB8DA2">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1.主要成分及含量：复合双链季铵盐成分有效浓度不低于0.4%，不含醇。有效杀菌率≥99.9%；含有表面活性剂，清洁消毒一步到位。</w:t>
      </w:r>
    </w:p>
    <w:p w14:paraId="29E08C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2.液体与载体重量比值≥1.7。</w:t>
      </w:r>
    </w:p>
    <w:p w14:paraId="75AAB3E3">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3.产品需达到中水平消毒级别，需提供包括但不限于分枝杆菌、脊髓灰质炎病毒的杀菌效果报告。</w:t>
      </w:r>
    </w:p>
    <w:p w14:paraId="478D5BCA">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4.产品能灭杀医院常见的病菌及物体表面自然菌，包含但不限于多重耐药菌、大肠杆菌、金黄色葡萄球菌、甲乙丙肝病毒等。（提供杀菌检测报告）。</w:t>
      </w:r>
    </w:p>
    <w:p w14:paraId="1712BC64">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5.根据科室不同应用场景，产品可提供大、小两种规格：尺寸一：大于18*25cm、尺寸二：大于15*18cm。</w:t>
      </w:r>
    </w:p>
    <w:p w14:paraId="4B07B69F">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6.产品效期不低于2年。产品开启后使用期限可达60天（包装需具备密封设计）</w:t>
      </w:r>
    </w:p>
    <w:p w14:paraId="4EF669DA">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7.对皮肤无刺激性（需提供国家相关机构认证的多次皮肤刺激性测试）。</w:t>
      </w:r>
    </w:p>
    <w:p w14:paraId="0782A8C7">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8.产品对精密医疗设备（如血透机、B超探头、除颤仪）具有兼容性，适用于这些仪器设备的清洁与消毒，且长期使用不会产生腐蚀性。</w:t>
      </w:r>
    </w:p>
    <w:p w14:paraId="659A536A">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9.需配套湿巾装盛装置：如湿巾盒子、挂篮等。</w:t>
      </w:r>
    </w:p>
    <w:p w14:paraId="060267E6">
      <w:pPr>
        <w:pStyle w:val="31"/>
        <w:rPr>
          <w:rFonts w:hint="default"/>
          <w:lang w:val="en-US" w:eastAsia="zh-CN"/>
        </w:rPr>
      </w:pPr>
    </w:p>
    <w:p w14:paraId="0A9BBB9C">
      <w:pPr>
        <w:spacing w:line="320" w:lineRule="exact"/>
        <w:ind w:left="479" w:leftChars="85" w:hanging="241" w:hangingChars="100"/>
        <w:jc w:val="left"/>
        <w:rPr>
          <w:rFonts w:hint="default" w:ascii="Times New Roman" w:hAnsi="Times New Roman" w:eastAsia="宋体" w:cs="Times New Roman"/>
          <w:b w:val="0"/>
          <w:bCs w:val="0"/>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2</w:t>
      </w:r>
    </w:p>
    <w:p w14:paraId="6A6FC092">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1.适用于血液透析、血浆置换和液体输注。</w:t>
      </w:r>
    </w:p>
    <w:p w14:paraId="6E002416">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2.导管应具有对称式管尖结构，无论正接反接，再循环率≤5%。</w:t>
      </w:r>
    </w:p>
    <w:p w14:paraId="3CE8B80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3.具备防血栓形成的流道结构，可通过激光切槽或其他等效技术实现。</w:t>
      </w:r>
    </w:p>
    <w:p w14:paraId="4BE22B67">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4.管身材质为医用级聚氨酯。</w:t>
      </w:r>
    </w:p>
    <w:p w14:paraId="725B00CF">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5.提供多种长度规格，包含但不限于19cm、23cm等，最高血流量≥300ml/min。</w:t>
      </w:r>
    </w:p>
    <w:p w14:paraId="13CEBEF2">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6.有显影标记，可在X射线下显示导管位置</w:t>
      </w:r>
      <w:r>
        <w:rPr>
          <w:rFonts w:hint="eastAsia" w:ascii="Times New Roman" w:hAnsi="Times New Roman" w:cs="Times New Roman"/>
          <w:b w:val="0"/>
          <w:bCs w:val="0"/>
          <w:color w:val="auto"/>
          <w:sz w:val="24"/>
          <w:szCs w:val="24"/>
          <w:lang w:val="en-US" w:eastAsia="zh-CN"/>
        </w:rPr>
        <w:t>。</w:t>
      </w:r>
    </w:p>
    <w:p w14:paraId="6BD57247">
      <w:pPr>
        <w:pStyle w:val="23"/>
        <w:ind w:left="0" w:leftChars="0" w:firstLine="0" w:firstLineChars="0"/>
        <w:jc w:val="both"/>
        <w:rPr>
          <w:rFonts w:hint="default"/>
          <w:lang w:val="en-US" w:eastAsia="zh-CN"/>
        </w:rPr>
      </w:pPr>
    </w:p>
    <w:p w14:paraId="17C09448">
      <w:pPr>
        <w:pStyle w:val="22"/>
        <w:ind w:firstLine="280" w:firstLineChars="0"/>
        <w:rPr>
          <w:rFonts w:hint="default"/>
          <w:color w:val="auto"/>
          <w:lang w:val="en-US" w:eastAsia="zh-CN"/>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bookmarkStart w:id="61" w:name="_Toc6540"/>
      <w:r>
        <w:rPr>
          <w:rFonts w:hint="default" w:ascii="Times New Roman" w:hAnsi="Times New Roman" w:cs="Times New Roman"/>
          <w:b/>
          <w:color w:val="auto"/>
          <w:sz w:val="24"/>
        </w:rPr>
        <w:t>二、</w:t>
      </w:r>
      <w:bookmarkEnd w:id="54"/>
      <w:bookmarkEnd w:id="55"/>
      <w:bookmarkEnd w:id="56"/>
      <w:bookmarkEnd w:id="57"/>
      <w:bookmarkEnd w:id="58"/>
      <w:r>
        <w:rPr>
          <w:rFonts w:hint="default" w:ascii="Times New Roman" w:hAnsi="Times New Roman" w:cs="Times New Roman"/>
          <w:b/>
          <w:color w:val="auto"/>
          <w:sz w:val="24"/>
        </w:rPr>
        <w:t>商务需求</w:t>
      </w:r>
      <w:bookmarkEnd w:id="59"/>
      <w:bookmarkEnd w:id="60"/>
      <w:bookmarkEnd w:id="61"/>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2" w:name="_Toc2072"/>
      <w:bookmarkStart w:id="63" w:name="_Toc31843"/>
      <w:bookmarkStart w:id="64" w:name="_Toc76373878"/>
      <w:bookmarkStart w:id="65" w:name="_Toc17524"/>
      <w:bookmarkStart w:id="66" w:name="_Toc7794"/>
      <w:bookmarkStart w:id="67" w:name="_Toc24122"/>
      <w:bookmarkStart w:id="68" w:name="_Toc1768"/>
      <w:bookmarkStart w:id="69" w:name="_Toc4791"/>
      <w:bookmarkStart w:id="70" w:name="_Toc17944"/>
      <w:bookmarkStart w:id="71" w:name="_Toc15650"/>
      <w:bookmarkStart w:id="72"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2"/>
      <w:bookmarkEnd w:id="63"/>
      <w:bookmarkEnd w:id="64"/>
      <w:bookmarkEnd w:id="65"/>
      <w:bookmarkEnd w:id="66"/>
      <w:bookmarkEnd w:id="67"/>
      <w:bookmarkEnd w:id="68"/>
      <w:bookmarkEnd w:id="69"/>
      <w:bookmarkEnd w:id="70"/>
      <w:bookmarkEnd w:id="71"/>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3" w:name="_Toc30551"/>
      <w:bookmarkStart w:id="74" w:name="_Toc5959"/>
      <w:bookmarkStart w:id="75" w:name="_Toc14311"/>
      <w:bookmarkStart w:id="76" w:name="_Toc9339"/>
      <w:bookmarkStart w:id="77" w:name="_Toc29836"/>
      <w:bookmarkStart w:id="78" w:name="_Toc76373879"/>
      <w:bookmarkStart w:id="79" w:name="_Toc22561"/>
      <w:bookmarkStart w:id="80" w:name="_Toc28942"/>
      <w:bookmarkStart w:id="81" w:name="_Toc16908"/>
      <w:bookmarkStart w:id="82" w:name="_Toc1352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2"/>
    <w:bookmarkEnd w:id="73"/>
    <w:bookmarkEnd w:id="74"/>
    <w:bookmarkEnd w:id="75"/>
    <w:bookmarkEnd w:id="76"/>
    <w:bookmarkEnd w:id="77"/>
    <w:bookmarkEnd w:id="78"/>
    <w:bookmarkEnd w:id="79"/>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0"/>
      <w:bookmarkEnd w:id="81"/>
      <w:bookmarkEnd w:id="82"/>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3" w:name="_Toc20772"/>
      <w:bookmarkStart w:id="84" w:name="_Toc2258"/>
      <w:bookmarkStart w:id="85" w:name="_Toc12384"/>
      <w:bookmarkStart w:id="86" w:name="_Toc27737"/>
      <w:bookmarkStart w:id="87" w:name="_Toc27893"/>
      <w:bookmarkStart w:id="88" w:name="_Toc76373885"/>
      <w:bookmarkStart w:id="89" w:name="_Toc20263"/>
      <w:r>
        <w:rPr>
          <w:rFonts w:hint="eastAsia" w:ascii="宋体" w:hAnsi="宋体" w:cs="宋体"/>
          <w:b/>
          <w:color w:val="auto"/>
          <w:szCs w:val="36"/>
        </w:rPr>
        <w:t>第三篇  资格审查及评价办法</w:t>
      </w:r>
      <w:bookmarkEnd w:id="83"/>
      <w:bookmarkEnd w:id="84"/>
      <w:bookmarkEnd w:id="85"/>
      <w:bookmarkEnd w:id="86"/>
      <w:bookmarkEnd w:id="87"/>
      <w:bookmarkEnd w:id="88"/>
      <w:bookmarkEnd w:id="89"/>
    </w:p>
    <w:p w14:paraId="49129F66">
      <w:pPr>
        <w:spacing w:line="400" w:lineRule="exact"/>
        <w:rPr>
          <w:rFonts w:hint="eastAsia" w:cs="宋体"/>
          <w:b/>
          <w:color w:val="auto"/>
          <w:sz w:val="24"/>
        </w:rPr>
      </w:pPr>
      <w:bookmarkStart w:id="90" w:name="_Toc28189"/>
      <w:bookmarkStart w:id="91" w:name="_Toc23699"/>
      <w:bookmarkStart w:id="92" w:name="_Toc7115"/>
      <w:bookmarkStart w:id="93" w:name="_Toc12712"/>
      <w:bookmarkStart w:id="94" w:name="_Toc76373886"/>
      <w:bookmarkStart w:id="95" w:name="_Toc11052"/>
    </w:p>
    <w:p w14:paraId="6C8393AD">
      <w:pPr>
        <w:spacing w:line="400" w:lineRule="exact"/>
        <w:outlineLvl w:val="1"/>
        <w:rPr>
          <w:rFonts w:hint="eastAsia" w:cs="宋体"/>
          <w:b/>
          <w:color w:val="auto"/>
          <w:sz w:val="24"/>
        </w:rPr>
      </w:pPr>
      <w:bookmarkStart w:id="96" w:name="_Toc4818"/>
      <w:r>
        <w:rPr>
          <w:rFonts w:hint="eastAsia" w:cs="宋体"/>
          <w:b/>
          <w:color w:val="auto"/>
          <w:sz w:val="24"/>
        </w:rPr>
        <w:t>一、资格审查及符合性审查</w:t>
      </w:r>
      <w:bookmarkEnd w:id="90"/>
      <w:bookmarkEnd w:id="91"/>
      <w:bookmarkEnd w:id="92"/>
      <w:bookmarkEnd w:id="93"/>
      <w:bookmarkEnd w:id="94"/>
      <w:bookmarkEnd w:id="95"/>
      <w:bookmarkEnd w:id="96"/>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2"/>
        <w:rPr>
          <w:rFonts w:hint="eastAsia"/>
        </w:rPr>
      </w:pPr>
    </w:p>
    <w:p w14:paraId="3D7D999D">
      <w:pPr>
        <w:spacing w:line="400" w:lineRule="exact"/>
        <w:outlineLvl w:val="1"/>
        <w:rPr>
          <w:rFonts w:hint="eastAsia" w:cs="宋体"/>
          <w:b/>
          <w:color w:val="auto"/>
          <w:sz w:val="24"/>
        </w:rPr>
      </w:pPr>
      <w:bookmarkStart w:id="97" w:name="_Toc13585"/>
      <w:bookmarkStart w:id="98" w:name="_Toc9147"/>
      <w:bookmarkStart w:id="99" w:name="_Toc31293"/>
      <w:bookmarkStart w:id="100" w:name="_Toc26754"/>
      <w:bookmarkStart w:id="101" w:name="_Toc19809"/>
      <w:bookmarkStart w:id="102" w:name="_Toc76373887"/>
      <w:bookmarkStart w:id="103" w:name="_Toc5535"/>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97"/>
      <w:bookmarkEnd w:id="98"/>
      <w:bookmarkEnd w:id="99"/>
      <w:bookmarkEnd w:id="100"/>
      <w:bookmarkEnd w:id="101"/>
      <w:bookmarkEnd w:id="102"/>
      <w:bookmarkEnd w:id="103"/>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4" w:name="_Toc2900"/>
      <w:bookmarkStart w:id="105" w:name="_Toc30068"/>
      <w:bookmarkStart w:id="106" w:name="_Toc5251"/>
      <w:bookmarkStart w:id="107" w:name="_Toc16925"/>
      <w:bookmarkStart w:id="108" w:name="_Toc76373889"/>
      <w:bookmarkStart w:id="109" w:name="_Toc8546"/>
    </w:p>
    <w:p w14:paraId="1DAB7DC7">
      <w:pPr>
        <w:numPr>
          <w:ilvl w:val="0"/>
          <w:numId w:val="0"/>
        </w:numPr>
        <w:spacing w:line="400" w:lineRule="exact"/>
        <w:outlineLvl w:val="1"/>
        <w:rPr>
          <w:rFonts w:hint="eastAsia" w:cs="宋体"/>
          <w:b/>
          <w:color w:val="auto"/>
          <w:sz w:val="24"/>
        </w:rPr>
      </w:pPr>
      <w:bookmarkStart w:id="110" w:name="_Toc13294"/>
      <w:r>
        <w:rPr>
          <w:rFonts w:hint="eastAsia" w:cs="宋体"/>
          <w:b/>
          <w:color w:val="auto"/>
          <w:sz w:val="24"/>
          <w:lang w:eastAsia="zh-CN"/>
        </w:rPr>
        <w:t>三、</w:t>
      </w:r>
      <w:r>
        <w:rPr>
          <w:rFonts w:hint="eastAsia" w:cs="宋体"/>
          <w:b/>
          <w:color w:val="auto"/>
          <w:sz w:val="24"/>
        </w:rPr>
        <w:t>无效竞选条款</w:t>
      </w:r>
      <w:bookmarkEnd w:id="104"/>
      <w:bookmarkEnd w:id="105"/>
      <w:bookmarkEnd w:id="106"/>
      <w:bookmarkEnd w:id="107"/>
      <w:bookmarkEnd w:id="108"/>
      <w:bookmarkEnd w:id="109"/>
      <w:bookmarkEnd w:id="110"/>
    </w:p>
    <w:p w14:paraId="108CEFAD">
      <w:pPr>
        <w:snapToGrid w:val="0"/>
        <w:spacing w:line="400" w:lineRule="exact"/>
        <w:ind w:firstLine="480" w:firstLineChars="200"/>
        <w:rPr>
          <w:rFonts w:hint="eastAsia" w:ascii="宋体" w:hAnsi="宋体" w:eastAsia="宋体" w:cs="宋体"/>
          <w:color w:val="auto"/>
          <w:sz w:val="24"/>
          <w:szCs w:val="24"/>
        </w:rPr>
      </w:pPr>
      <w:bookmarkStart w:id="111"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1"/>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2" w:name="_Toc11654"/>
      <w:bookmarkStart w:id="113" w:name="_Toc76373890"/>
      <w:bookmarkStart w:id="114" w:name="_Toc26071"/>
      <w:bookmarkStart w:id="115" w:name="_Toc27443"/>
      <w:bookmarkStart w:id="116" w:name="_Toc11342"/>
      <w:bookmarkStart w:id="117" w:name="_Toc20034"/>
      <w:r>
        <w:rPr>
          <w:rFonts w:hint="eastAsia" w:cs="宋体"/>
          <w:b/>
          <w:color w:val="auto"/>
          <w:sz w:val="24"/>
          <w:lang w:eastAsia="zh-CN"/>
        </w:rPr>
        <w:t>四、</w:t>
      </w:r>
      <w:r>
        <w:rPr>
          <w:rFonts w:hint="eastAsia" w:cs="宋体"/>
          <w:b/>
          <w:color w:val="auto"/>
          <w:sz w:val="24"/>
        </w:rPr>
        <w:t>废标条款</w:t>
      </w:r>
      <w:bookmarkEnd w:id="112"/>
      <w:bookmarkEnd w:id="113"/>
      <w:bookmarkEnd w:id="114"/>
      <w:bookmarkEnd w:id="115"/>
      <w:bookmarkEnd w:id="116"/>
      <w:bookmarkEnd w:id="117"/>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8" w:name="_Toc10547"/>
      <w:bookmarkStart w:id="119" w:name="_Toc27646"/>
      <w:bookmarkStart w:id="120" w:name="_Toc76373891"/>
      <w:bookmarkStart w:id="121" w:name="_Toc20391"/>
      <w:bookmarkStart w:id="122" w:name="_Toc25199"/>
      <w:bookmarkStart w:id="123" w:name="_Toc10864"/>
      <w:r>
        <w:rPr>
          <w:rFonts w:hint="eastAsia" w:ascii="宋体" w:hAnsi="宋体" w:cs="宋体"/>
          <w:b/>
          <w:color w:val="auto"/>
          <w:szCs w:val="36"/>
        </w:rPr>
        <w:t xml:space="preserve">第四篇  </w:t>
      </w:r>
      <w:bookmarkStart w:id="124" w:name="_Toc258354120"/>
      <w:bookmarkStart w:id="125" w:name="_Toc349642178"/>
      <w:r>
        <w:rPr>
          <w:rFonts w:hint="eastAsia" w:ascii="宋体" w:hAnsi="宋体" w:cs="宋体"/>
          <w:b/>
          <w:bCs/>
          <w:color w:val="auto"/>
          <w:kern w:val="36"/>
          <w:sz w:val="32"/>
          <w:szCs w:val="21"/>
        </w:rPr>
        <w:t>中选通知及合同</w:t>
      </w:r>
      <w:bookmarkEnd w:id="124"/>
      <w:bookmarkEnd w:id="125"/>
      <w:r>
        <w:rPr>
          <w:rFonts w:hint="eastAsia" w:ascii="宋体" w:hAnsi="宋体" w:cs="宋体"/>
          <w:b/>
          <w:bCs/>
          <w:color w:val="auto"/>
          <w:kern w:val="36"/>
          <w:sz w:val="32"/>
          <w:szCs w:val="21"/>
        </w:rPr>
        <w:t>签订</w:t>
      </w:r>
      <w:bookmarkEnd w:id="118"/>
    </w:p>
    <w:bookmarkEnd w:id="119"/>
    <w:bookmarkEnd w:id="120"/>
    <w:bookmarkEnd w:id="121"/>
    <w:bookmarkEnd w:id="122"/>
    <w:bookmarkEnd w:id="123"/>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6" w:name="_Toc27709"/>
      <w:r>
        <w:rPr>
          <w:rFonts w:hint="eastAsia" w:ascii="宋体" w:hAnsi="宋体" w:cs="宋体"/>
          <w:b/>
          <w:bCs/>
          <w:color w:val="auto"/>
          <w:sz w:val="24"/>
          <w:szCs w:val="24"/>
        </w:rPr>
        <w:t>一</w:t>
      </w:r>
      <w:r>
        <w:rPr>
          <w:rFonts w:hint="eastAsia" w:cs="宋体"/>
          <w:b/>
          <w:color w:val="auto"/>
          <w:sz w:val="24"/>
        </w:rPr>
        <w:t>、中选通知</w:t>
      </w:r>
      <w:bookmarkEnd w:id="126"/>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7" w:name="_Toc29342"/>
      <w:r>
        <w:rPr>
          <w:rFonts w:hint="eastAsia" w:ascii="宋体" w:hAnsi="宋体" w:cs="宋体"/>
          <w:b/>
          <w:bCs/>
          <w:color w:val="auto"/>
          <w:sz w:val="24"/>
          <w:szCs w:val="24"/>
        </w:rPr>
        <w:t>二、</w:t>
      </w:r>
      <w:bookmarkStart w:id="128"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7"/>
      <w:bookmarkEnd w:id="128"/>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9" w:name="_Toc23535"/>
      <w:r>
        <w:rPr>
          <w:rFonts w:hint="eastAsia" w:ascii="宋体" w:hAnsi="宋体" w:cs="宋体"/>
          <w:b/>
          <w:bCs/>
          <w:color w:val="auto"/>
          <w:sz w:val="24"/>
          <w:szCs w:val="24"/>
        </w:rPr>
        <w:t>三、合同协议书的签订</w:t>
      </w:r>
      <w:bookmarkEnd w:id="129"/>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0" w:name="_Toc10698"/>
      <w:r>
        <w:rPr>
          <w:rFonts w:hint="eastAsia" w:ascii="宋体" w:hAnsi="宋体" w:cs="宋体"/>
          <w:b/>
          <w:bCs/>
          <w:color w:val="auto"/>
          <w:sz w:val="24"/>
          <w:szCs w:val="24"/>
        </w:rPr>
        <w:t>四、其它</w:t>
      </w:r>
      <w:bookmarkEnd w:id="130"/>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1" w:name="_Toc10152"/>
      <w:bookmarkStart w:id="132" w:name="_Toc76373904"/>
      <w:bookmarkStart w:id="133" w:name="_Toc20762"/>
      <w:bookmarkStart w:id="134" w:name="_Toc2975"/>
      <w:bookmarkStart w:id="135" w:name="_Toc24088"/>
      <w:bookmarkStart w:id="136" w:name="_Toc19409"/>
      <w:r>
        <w:rPr>
          <w:rFonts w:hint="eastAsia" w:ascii="宋体" w:hAnsi="宋体" w:cs="宋体"/>
          <w:b/>
          <w:color w:val="auto"/>
          <w:szCs w:val="36"/>
        </w:rPr>
        <w:br w:type="column"/>
      </w:r>
      <w:bookmarkEnd w:id="131"/>
      <w:bookmarkEnd w:id="132"/>
      <w:bookmarkEnd w:id="133"/>
      <w:bookmarkEnd w:id="134"/>
      <w:bookmarkEnd w:id="135"/>
      <w:bookmarkEnd w:id="136"/>
    </w:p>
    <w:p w14:paraId="36603897">
      <w:pPr>
        <w:tabs>
          <w:tab w:val="left" w:pos="3360"/>
        </w:tabs>
        <w:spacing w:line="360" w:lineRule="auto"/>
        <w:jc w:val="center"/>
        <w:outlineLvl w:val="0"/>
        <w:rPr>
          <w:rFonts w:hint="eastAsia" w:ascii="宋体" w:hAnsi="宋体" w:cs="宋体"/>
          <w:b/>
          <w:color w:val="auto"/>
          <w:sz w:val="32"/>
          <w:szCs w:val="40"/>
        </w:rPr>
      </w:pPr>
      <w:bookmarkStart w:id="137" w:name="_Toc76373907"/>
      <w:bookmarkStart w:id="138" w:name="_Toc11892"/>
      <w:bookmarkStart w:id="139" w:name="_Toc16112"/>
      <w:bookmarkStart w:id="140" w:name="_Toc12863"/>
      <w:bookmarkStart w:id="141" w:name="_Toc7750"/>
      <w:bookmarkStart w:id="142" w:name="_Toc11763"/>
      <w:bookmarkStart w:id="143" w:name="_Toc25920"/>
      <w:r>
        <w:rPr>
          <w:rFonts w:hint="eastAsia" w:ascii="宋体" w:hAnsi="宋体" w:cs="宋体"/>
          <w:b/>
          <w:color w:val="auto"/>
          <w:sz w:val="32"/>
          <w:szCs w:val="40"/>
        </w:rPr>
        <w:t>第五篇  采购文件格式</w:t>
      </w:r>
      <w:bookmarkEnd w:id="137"/>
      <w:bookmarkEnd w:id="138"/>
      <w:bookmarkEnd w:id="139"/>
      <w:bookmarkEnd w:id="140"/>
      <w:bookmarkEnd w:id="141"/>
      <w:bookmarkEnd w:id="142"/>
      <w:bookmarkEnd w:id="143"/>
    </w:p>
    <w:p w14:paraId="4E1E8451">
      <w:pPr>
        <w:spacing w:line="400" w:lineRule="exact"/>
        <w:ind w:firstLine="482" w:firstLineChars="200"/>
        <w:rPr>
          <w:rFonts w:hint="eastAsia" w:ascii="宋体" w:hAnsi="宋体" w:cs="宋体"/>
          <w:b/>
          <w:bCs/>
          <w:color w:val="auto"/>
          <w:sz w:val="24"/>
          <w:szCs w:val="24"/>
        </w:rPr>
      </w:pPr>
      <w:bookmarkStart w:id="144"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4"/>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5" w:name="OLE_LINK14"/>
      <w:r>
        <w:rPr>
          <w:rFonts w:hint="eastAsia" w:ascii="宋体" w:hAnsi="宋体" w:eastAsia="宋体" w:cs="宋体"/>
          <w:color w:val="auto"/>
          <w:kern w:val="2"/>
          <w:sz w:val="24"/>
          <w:szCs w:val="24"/>
          <w:lang w:val="en-US" w:eastAsia="zh-CN" w:bidi="ar-SA"/>
        </w:rPr>
        <w:t>如</w:t>
      </w:r>
      <w:bookmarkEnd w:id="145"/>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6"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6"/>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17664"/>
      <w:r>
        <w:rPr>
          <w:rFonts w:hint="eastAsia" w:ascii="宋体" w:hAnsi="宋体" w:cs="宋体"/>
          <w:b/>
          <w:bCs/>
          <w:color w:val="auto"/>
          <w:sz w:val="24"/>
          <w:szCs w:val="24"/>
        </w:rPr>
        <w:t>四、技术（质量）文件</w:t>
      </w:r>
      <w:bookmarkEnd w:id="147"/>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8" w:name="_Toc4012"/>
      <w:bookmarkStart w:id="149" w:name="_Toc24824"/>
      <w:r>
        <w:rPr>
          <w:rFonts w:hint="eastAsia" w:ascii="宋体" w:hAnsi="宋体" w:cs="宋体"/>
          <w:b/>
          <w:bCs/>
          <w:color w:val="auto"/>
          <w:sz w:val="24"/>
          <w:szCs w:val="24"/>
        </w:rPr>
        <w:t>五、</w:t>
      </w:r>
      <w:bookmarkEnd w:id="148"/>
      <w:r>
        <w:rPr>
          <w:rFonts w:hint="eastAsia" w:ascii="宋体" w:hAnsi="宋体" w:cs="宋体"/>
          <w:b/>
          <w:bCs/>
          <w:color w:val="auto"/>
          <w:sz w:val="24"/>
          <w:szCs w:val="24"/>
        </w:rPr>
        <w:t>商务文件</w:t>
      </w:r>
      <w:bookmarkEnd w:id="149"/>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6185"/>
      <w:r>
        <w:rPr>
          <w:rFonts w:hint="eastAsia" w:cs="宋体"/>
          <w:b/>
          <w:bCs/>
          <w:color w:val="auto"/>
          <w:sz w:val="24"/>
          <w:szCs w:val="24"/>
        </w:rPr>
        <w:t>六、</w:t>
      </w:r>
      <w:r>
        <w:rPr>
          <w:rFonts w:hint="eastAsia" w:ascii="宋体" w:hAnsi="宋体" w:cs="宋体"/>
          <w:b/>
          <w:bCs/>
          <w:color w:val="auto"/>
          <w:sz w:val="24"/>
          <w:szCs w:val="24"/>
        </w:rPr>
        <w:t>资格文件</w:t>
      </w:r>
      <w:bookmarkEnd w:id="150"/>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1" w:name="_Toc22827"/>
      <w:bookmarkStart w:id="152" w:name="_Toc10063"/>
      <w:bookmarkStart w:id="153" w:name="_Toc3094"/>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1"/>
      <w:bookmarkEnd w:id="152"/>
      <w:bookmarkEnd w:id="153"/>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4" w:name="OLE_LINK9"/>
      <w:bookmarkStart w:id="155" w:name="OLE_LINK6"/>
      <w:bookmarkStart w:id="156" w:name="_Toc15483"/>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4"/>
      <w:bookmarkEnd w:id="155"/>
      <w:bookmarkEnd w:id="156"/>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7"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7"/>
    <w:p w14:paraId="00B750FB">
      <w:pPr>
        <w:pStyle w:val="2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8" w:name="OLE_LINK5"/>
      <w:r>
        <w:rPr>
          <w:rFonts w:hint="eastAsia" w:ascii="宋体" w:hAnsi="宋体" w:eastAsia="宋体" w:cs="宋体"/>
          <w:b/>
          <w:color w:val="auto"/>
          <w:sz w:val="36"/>
          <w:szCs w:val="36"/>
        </w:rPr>
        <w:t>开标现场最终报价表</w:t>
      </w:r>
      <w:bookmarkEnd w:id="158"/>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9"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0" w:name="OLE_LINK11"/>
      <w:r>
        <w:rPr>
          <w:rFonts w:hint="eastAsia" w:ascii="宋体" w:hAnsi="宋体" w:eastAsia="宋体" w:cs="宋体"/>
          <w:color w:val="auto"/>
          <w:kern w:val="2"/>
          <w:sz w:val="24"/>
          <w:szCs w:val="24"/>
          <w:lang w:val="en-US" w:eastAsia="zh-CN" w:bidi="ar-SA"/>
        </w:rPr>
        <w:t>专用设备报价表</w:t>
      </w:r>
      <w:bookmarkEnd w:id="159"/>
      <w:bookmarkEnd w:id="160"/>
      <w:bookmarkStart w:id="161" w:name="OLE_LINK18"/>
      <w:r>
        <w:rPr>
          <w:rFonts w:hint="eastAsia" w:eastAsia="宋体" w:cs="宋体"/>
          <w:color w:val="auto"/>
          <w:kern w:val="2"/>
          <w:sz w:val="24"/>
          <w:szCs w:val="24"/>
          <w:lang w:val="en-US" w:eastAsia="zh-CN" w:bidi="ar-SA"/>
        </w:rPr>
        <w:t>(如有)</w:t>
      </w:r>
    </w:p>
    <w:bookmarkEnd w:id="161"/>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2"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2"/>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3"/>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3" w:name="OLE_LINK17"/>
      <w:r>
        <w:rPr>
          <w:rFonts w:hint="eastAsia" w:ascii="宋体" w:hAnsi="宋体" w:eastAsia="宋体" w:cs="宋体"/>
          <w:color w:val="auto"/>
          <w:kern w:val="2"/>
          <w:sz w:val="24"/>
          <w:szCs w:val="24"/>
          <w:lang w:val="en-US" w:eastAsia="zh-CN" w:bidi="ar-SA"/>
        </w:rPr>
        <w:t>耗材专用设备零配件报价表</w:t>
      </w:r>
      <w:bookmarkEnd w:id="163"/>
      <w:r>
        <w:rPr>
          <w:rFonts w:hint="eastAsia" w:eastAsia="宋体" w:cs="宋体"/>
          <w:color w:val="auto"/>
          <w:kern w:val="2"/>
          <w:sz w:val="24"/>
          <w:szCs w:val="24"/>
          <w:lang w:val="en-US" w:eastAsia="zh-CN" w:bidi="ar-SA"/>
        </w:rPr>
        <w:t>(如有)</w:t>
      </w:r>
    </w:p>
    <w:p w14:paraId="2AB1CC82">
      <w:pPr>
        <w:pStyle w:val="22"/>
        <w:rPr>
          <w:rFonts w:hint="eastAsia" w:ascii="宋体" w:hAnsi="宋体" w:eastAsia="宋体" w:cs="宋体"/>
          <w:color w:val="auto"/>
          <w:kern w:val="2"/>
          <w:sz w:val="24"/>
          <w:szCs w:val="24"/>
          <w:lang w:val="en-US" w:eastAsia="zh-CN" w:bidi="ar-SA"/>
        </w:rPr>
      </w:pPr>
    </w:p>
    <w:p w14:paraId="02EA2004">
      <w:pPr>
        <w:pStyle w:val="2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5"/>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4" w:name="_Toc21431"/>
      <w:bookmarkStart w:id="165" w:name="_Toc76373909"/>
      <w:bookmarkStart w:id="166" w:name="_Toc21830"/>
      <w:bookmarkStart w:id="167" w:name="_Toc9795"/>
      <w:bookmarkStart w:id="168" w:name="_Toc27306"/>
      <w:bookmarkStart w:id="169" w:name="_Toc493178790"/>
      <w:bookmarkStart w:id="170" w:name="_Toc28644"/>
      <w:bookmarkStart w:id="171" w:name="_Toc23879"/>
      <w:bookmarkStart w:id="172" w:name="OLE_LINK12"/>
      <w:r>
        <w:rPr>
          <w:rFonts w:hint="eastAsia" w:cs="宋体"/>
          <w:b/>
          <w:color w:val="auto"/>
          <w:szCs w:val="28"/>
        </w:rPr>
        <w:t>二、</w:t>
      </w:r>
      <w:bookmarkEnd w:id="164"/>
      <w:bookmarkEnd w:id="165"/>
      <w:bookmarkEnd w:id="166"/>
      <w:bookmarkEnd w:id="167"/>
      <w:bookmarkEnd w:id="168"/>
      <w:bookmarkEnd w:id="169"/>
      <w:r>
        <w:rPr>
          <w:rFonts w:hint="eastAsia" w:cs="宋体"/>
          <w:b/>
          <w:color w:val="auto"/>
          <w:szCs w:val="28"/>
        </w:rPr>
        <w:t>技术（质量）文件</w:t>
      </w:r>
      <w:bookmarkEnd w:id="170"/>
      <w:bookmarkEnd w:id="171"/>
    </w:p>
    <w:bookmarkEnd w:id="172"/>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3" w:name="_Toc492721039"/>
      <w:bookmarkStart w:id="174" w:name="_Toc12647"/>
      <w:bookmarkStart w:id="175" w:name="_Toc20875"/>
      <w:bookmarkStart w:id="176" w:name="_Toc493178791"/>
      <w:bookmarkStart w:id="177" w:name="_Toc76373910"/>
      <w:bookmarkStart w:id="178" w:name="_Toc411"/>
      <w:bookmarkStart w:id="179" w:name="_Toc16487"/>
      <w:bookmarkStart w:id="180" w:name="_Toc20258"/>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1" w:name="_Toc26764"/>
      <w:r>
        <w:rPr>
          <w:rFonts w:hint="eastAsia" w:cs="宋体"/>
          <w:b/>
          <w:color w:val="auto"/>
          <w:szCs w:val="28"/>
        </w:rPr>
        <w:t>三、商务文件</w:t>
      </w:r>
      <w:bookmarkEnd w:id="173"/>
      <w:bookmarkEnd w:id="174"/>
      <w:bookmarkEnd w:id="175"/>
      <w:bookmarkEnd w:id="176"/>
      <w:bookmarkEnd w:id="177"/>
      <w:bookmarkEnd w:id="178"/>
      <w:bookmarkEnd w:id="179"/>
      <w:bookmarkEnd w:id="180"/>
      <w:bookmarkEnd w:id="181"/>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2" w:name="_Toc4250"/>
      <w:bookmarkStart w:id="183" w:name="_Toc16151"/>
      <w:bookmarkStart w:id="184" w:name="_Toc8925"/>
      <w:bookmarkStart w:id="185" w:name="_Toc76373912"/>
      <w:bookmarkStart w:id="186" w:name="_Toc19291"/>
      <w:bookmarkStart w:id="187" w:name="_Toc20605"/>
      <w:bookmarkStart w:id="188" w:name="_Toc6217"/>
      <w:bookmarkStart w:id="189" w:name="_Toc493178793"/>
      <w:bookmarkStart w:id="190" w:name="_Toc492721038"/>
      <w:r>
        <w:rPr>
          <w:rFonts w:hint="eastAsia" w:cs="宋体"/>
          <w:b/>
          <w:color w:val="auto"/>
          <w:szCs w:val="28"/>
        </w:rPr>
        <w:t>四、资格文件</w:t>
      </w:r>
      <w:bookmarkEnd w:id="182"/>
      <w:bookmarkEnd w:id="183"/>
      <w:bookmarkEnd w:id="184"/>
      <w:bookmarkEnd w:id="185"/>
      <w:bookmarkEnd w:id="186"/>
      <w:bookmarkEnd w:id="187"/>
      <w:bookmarkEnd w:id="188"/>
      <w:bookmarkEnd w:id="189"/>
      <w:bookmarkEnd w:id="190"/>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1" w:name="_Toc27718"/>
      <w:r>
        <w:rPr>
          <w:rFonts w:hint="eastAsia" w:ascii="宋体" w:hAnsi="宋体" w:cs="宋体"/>
          <w:color w:val="auto"/>
        </w:rPr>
        <w:br w:type="column"/>
      </w:r>
      <w:r>
        <w:rPr>
          <w:rFonts w:hint="eastAsia" w:cs="宋体"/>
          <w:b/>
          <w:color w:val="auto"/>
          <w:szCs w:val="28"/>
        </w:rPr>
        <w:t>五、商业活动廉洁经营承诺书</w:t>
      </w:r>
      <w:bookmarkEnd w:id="191"/>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3"/>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FD7E4AC-5CA2-4046-8E2C-397D43060DBA}"/>
  </w:font>
  <w:font w:name="黑体">
    <w:panose1 w:val="02010609060101010101"/>
    <w:charset w:val="86"/>
    <w:family w:val="auto"/>
    <w:pitch w:val="default"/>
    <w:sig w:usb0="800002BF" w:usb1="38CF7CFA" w:usb2="00000016" w:usb3="00000000" w:csb0="00040001" w:csb1="00000000"/>
    <w:embedRegular r:id="rId2" w:fontKey="{95CE8DD7-C685-47EE-9CA7-B3B5404002D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swiss"/>
    <w:pitch w:val="default"/>
    <w:sig w:usb0="00000001" w:usb1="080E0000" w:usb2="00000000" w:usb3="00000000" w:csb0="00040000" w:csb1="00000000"/>
    <w:embedRegular r:id="rId3" w:fontKey="{5DF25237-281D-4DA6-8936-BE76ACF431C0}"/>
  </w:font>
  <w:font w:name="Arial Unicode MS">
    <w:panose1 w:val="020B0604020202020204"/>
    <w:charset w:val="86"/>
    <w:family w:val="roman"/>
    <w:pitch w:val="default"/>
    <w:sig w:usb0="FFFFFFFF" w:usb1="E9FFFFFF" w:usb2="0000003F" w:usb3="00000000" w:csb0="603F01FF" w:csb1="FFFF0000"/>
    <w:embedRegular r:id="rId4" w:fontKey="{DB14E12E-43D3-49DF-84DC-588370DC69B9}"/>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8E6C6AA9-FD3B-4302-A70F-5C4988D2535A}"/>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5BBA6D47-3DF3-4E90-BA1D-CA5D54B229E8}"/>
  </w:font>
  <w:font w:name="方正黑体_GBK">
    <w:panose1 w:val="03000509000000000000"/>
    <w:charset w:val="86"/>
    <w:family w:val="script"/>
    <w:pitch w:val="default"/>
    <w:sig w:usb0="00000001" w:usb1="080E0000" w:usb2="00000000" w:usb3="00000000" w:csb0="00040000" w:csb1="00000000"/>
    <w:embedRegular r:id="rId7" w:fontKey="{86605B87-E1D9-4EB9-8718-B656AA78220A}"/>
  </w:font>
  <w:font w:name="方正小标宋_GBK">
    <w:panose1 w:val="03000509000000000000"/>
    <w:charset w:val="86"/>
    <w:family w:val="script"/>
    <w:pitch w:val="default"/>
    <w:sig w:usb0="00000001" w:usb1="080E0000" w:usb2="00000000" w:usb3="00000000" w:csb0="00040000" w:csb1="00000000"/>
    <w:embedRegular r:id="rId8" w:fontKey="{5CE2CE08-21A8-441C-B0CE-9BB70FC97481}"/>
  </w:font>
  <w:font w:name="微软雅黑">
    <w:panose1 w:val="020B0503020204020204"/>
    <w:charset w:val="86"/>
    <w:family w:val="swiss"/>
    <w:pitch w:val="default"/>
    <w:sig w:usb0="80000287" w:usb1="2ACF3C50" w:usb2="00000016" w:usb3="00000000" w:csb0="0004001F" w:csb1="00000000"/>
    <w:embedRegular r:id="rId9" w:fontKey="{FE96A098-C148-4499-9B45-307913041CF6}"/>
  </w:font>
  <w:font w:name="仿宋">
    <w:panose1 w:val="02010609060101010101"/>
    <w:charset w:val="86"/>
    <w:family w:val="modern"/>
    <w:pitch w:val="default"/>
    <w:sig w:usb0="800002BF" w:usb1="38CF7CFA" w:usb2="00000016" w:usb3="00000000" w:csb0="00040001" w:csb1="00000000"/>
    <w:embedRegular r:id="rId10" w:fontKey="{FF9AA7E9-10E0-4CAC-BEE6-128A3C4C4A49}"/>
  </w:font>
  <w:font w:name="WPSEMBED63">
    <w:panose1 w:val="03000509000000000000"/>
    <w:charset w:val="86"/>
    <w:family w:val="auto"/>
    <w:pitch w:val="default"/>
    <w:sig w:usb0="00000001" w:usb1="080E0000" w:usb2="00000000" w:usb3="00000000" w:csb0="00040000" w:csb1="00000000"/>
  </w:font>
  <w:font w:name="WPSEMBED64">
    <w:panose1 w:val="03000509000000000000"/>
    <w:charset w:val="86"/>
    <w:family w:val="auto"/>
    <w:pitch w:val="default"/>
    <w:sig w:usb0="00000001" w:usb1="080E0000" w:usb2="00000000" w:usb3="00000000" w:csb0="00040000" w:csb1="00000000"/>
  </w:font>
  <w:font w:name="WPSEMBED61">
    <w:panose1 w:val="02010609030101010101"/>
    <w:charset w:val="86"/>
    <w:family w:val="auto"/>
    <w:pitch w:val="default"/>
    <w:sig w:usb0="00000001" w:usb1="080E0000" w:usb2="00000000" w:usb3="00000000" w:csb0="00040000" w:csb1="00000000"/>
  </w:font>
  <w:font w:name="WPSEMBED65">
    <w:panose1 w:val="03000509000000000000"/>
    <w:charset w:val="86"/>
    <w:family w:val="auto"/>
    <w:pitch w:val="default"/>
    <w:sig w:usb0="00000001" w:usb1="080E0000" w:usb2="00000000" w:usb3="00000000" w:csb0="00040000" w:csb1="00000000"/>
  </w:font>
  <w:font w:name="WPSEMBED62">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526A6"/>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05C73"/>
    <w:rsid w:val="0FC21262"/>
    <w:rsid w:val="0FD06B9F"/>
    <w:rsid w:val="0FF07A4E"/>
    <w:rsid w:val="103E1A08"/>
    <w:rsid w:val="10A45717"/>
    <w:rsid w:val="10AC5161"/>
    <w:rsid w:val="10D65A3F"/>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932753"/>
    <w:rsid w:val="13E52DC4"/>
    <w:rsid w:val="13F02804"/>
    <w:rsid w:val="140D0766"/>
    <w:rsid w:val="1418386F"/>
    <w:rsid w:val="147246C9"/>
    <w:rsid w:val="148B50A7"/>
    <w:rsid w:val="14922675"/>
    <w:rsid w:val="156B048A"/>
    <w:rsid w:val="158D4B19"/>
    <w:rsid w:val="15901E58"/>
    <w:rsid w:val="15BE1509"/>
    <w:rsid w:val="15E2587E"/>
    <w:rsid w:val="16B60DAC"/>
    <w:rsid w:val="16B76298"/>
    <w:rsid w:val="16D01B7A"/>
    <w:rsid w:val="16D71809"/>
    <w:rsid w:val="16FD42AC"/>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AFE39AB"/>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365E15"/>
    <w:rsid w:val="1D4B1F5B"/>
    <w:rsid w:val="1D905BC0"/>
    <w:rsid w:val="1DDC235C"/>
    <w:rsid w:val="1E0868EA"/>
    <w:rsid w:val="1E1F06E1"/>
    <w:rsid w:val="1E2E192B"/>
    <w:rsid w:val="1E3649B9"/>
    <w:rsid w:val="1E37496F"/>
    <w:rsid w:val="1E6C538C"/>
    <w:rsid w:val="1E770B63"/>
    <w:rsid w:val="1E9952FE"/>
    <w:rsid w:val="1EB902E5"/>
    <w:rsid w:val="1EBC0009"/>
    <w:rsid w:val="1ED43200"/>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8936EB"/>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E62AA"/>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4FE94825"/>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095608"/>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006FB"/>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2BA27AC"/>
    <w:rsid w:val="631D5A96"/>
    <w:rsid w:val="63212E5F"/>
    <w:rsid w:val="634E3CB8"/>
    <w:rsid w:val="637864A7"/>
    <w:rsid w:val="63A9438F"/>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54B99"/>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3057D0"/>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24390"/>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3">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4">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5">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tabs>
        <w:tab w:val="left" w:pos="780"/>
      </w:tabs>
      <w:spacing w:line="360" w:lineRule="auto"/>
      <w:ind w:left="780" w:hanging="360"/>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beforeLines="0" w:beforeAutospacing="0"/>
    </w:pPr>
    <w:rPr>
      <w:rFonts w:ascii="Arial" w:hAnsi="Arial"/>
      <w:sz w:val="24"/>
    </w:rPr>
  </w:style>
  <w:style w:type="paragraph" w:styleId="19">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0">
    <w:name w:val="Body Text 3"/>
    <w:basedOn w:val="1"/>
    <w:qFormat/>
    <w:uiPriority w:val="0"/>
    <w:pPr>
      <w:adjustRightInd w:val="0"/>
      <w:snapToGrid w:val="0"/>
      <w:spacing w:after="120" w:afterLines="0" w:afterAutospacing="0" w:line="360" w:lineRule="auto"/>
    </w:pPr>
    <w:rPr>
      <w:sz w:val="16"/>
    </w:rPr>
  </w:style>
  <w:style w:type="paragraph" w:styleId="21">
    <w:name w:val="List Bullet 3"/>
    <w:basedOn w:val="1"/>
    <w:qFormat/>
    <w:uiPriority w:val="0"/>
    <w:pPr>
      <w:tabs>
        <w:tab w:val="left" w:pos="1200"/>
      </w:tabs>
      <w:adjustRightInd w:val="0"/>
      <w:snapToGrid w:val="0"/>
      <w:spacing w:line="360" w:lineRule="auto"/>
      <w:ind w:left="1200" w:hanging="360"/>
    </w:pPr>
    <w:rPr>
      <w:sz w:val="24"/>
    </w:rPr>
  </w:style>
  <w:style w:type="paragraph" w:styleId="22">
    <w:name w:val="Body Text"/>
    <w:basedOn w:val="1"/>
    <w:next w:val="23"/>
    <w:qFormat/>
    <w:uiPriority w:val="0"/>
    <w:rPr>
      <w:rFonts w:ascii="仿宋_GB2312" w:eastAsia="仿宋_GB2312"/>
      <w:kern w:val="2"/>
      <w:sz w:val="32"/>
    </w:rPr>
  </w:style>
  <w:style w:type="paragraph" w:customStyle="1" w:styleId="23">
    <w:name w:val="引用1"/>
    <w:basedOn w:val="1"/>
    <w:next w:val="1"/>
    <w:qFormat/>
    <w:uiPriority w:val="0"/>
    <w:pPr>
      <w:wordWrap w:val="0"/>
      <w:spacing w:before="200" w:after="160"/>
      <w:ind w:left="864" w:right="864"/>
      <w:jc w:val="center"/>
    </w:pPr>
    <w:rPr>
      <w:i/>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19"/>
    <w:next w:val="19"/>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3"/>
    <w:qFormat/>
    <w:uiPriority w:val="0"/>
    <w:rPr>
      <w:rFonts w:ascii="宋体" w:hAnsi="宋体" w:eastAsia="宋体"/>
      <w:kern w:val="2"/>
      <w:sz w:val="28"/>
    </w:rPr>
  </w:style>
  <w:style w:type="character" w:customStyle="1" w:styleId="70">
    <w:name w:val="批注文字 Char"/>
    <w:link w:val="19"/>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2"/>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4"/>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4"/>
    <w:qFormat/>
    <w:uiPriority w:val="0"/>
    <w:pPr>
      <w:tabs>
        <w:tab w:val="left" w:pos="709"/>
      </w:tabs>
      <w:ind w:left="709" w:hanging="709"/>
      <w:jc w:val="both"/>
    </w:pPr>
    <w:rPr>
      <w:sz w:val="32"/>
    </w:rPr>
  </w:style>
  <w:style w:type="paragraph" w:customStyle="1" w:styleId="115">
    <w:name w:val="样式3"/>
    <w:basedOn w:val="2"/>
    <w:next w:val="2"/>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3"/>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7"/>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3"/>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5"/>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5"/>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7"/>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2"/>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5"/>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7"/>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5"/>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4495</Words>
  <Characters>4639</Characters>
  <Lines>101</Lines>
  <Paragraphs>28</Paragraphs>
  <TotalTime>0</TotalTime>
  <ScaleCrop>false</ScaleCrop>
  <LinksUpToDate>false</LinksUpToDate>
  <CharactersWithSpaces>4736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2026-07-24T08:54:10Z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eyJoZGlkIjoiMzc1OGNlMDJlMzRlMzMzYmE1ZjU3MzU3ZjgyMjI5MWIiLCJ1c2VySWQiOiIxMjgyNDcwNjU2In0=</vt:lpwstr>
  </property>
</Properties>
</file>