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10059"/>
      <w:bookmarkStart w:id="2" w:name="_Toc31066"/>
      <w:bookmarkStart w:id="3" w:name="_Toc13868"/>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5909"/>
      <w:bookmarkStart w:id="9" w:name="_Toc22435"/>
      <w:bookmarkStart w:id="10" w:name="_Toc28264"/>
      <w:bookmarkStart w:id="11" w:name="_Toc15376"/>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color w:val="auto"/>
          <w:sz w:val="24"/>
          <w:szCs w:val="24"/>
          <w:lang w:val="en-US" w:eastAsia="zh-CN"/>
        </w:rPr>
        <w:t>可吸收钉修补固定器、可吸收血管封合医用胶、导引导丝、可调弯鞘、穿刺扩张器、动脉减容装置、外周静脉取栓支架系统</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18060"/>
            <w:bookmarkStart w:id="16" w:name="_Toc22707"/>
            <w:bookmarkStart w:id="17" w:name="_Toc76373865"/>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32F8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00818C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0674A86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可吸收钉修补固定器</w:t>
            </w:r>
          </w:p>
        </w:tc>
        <w:tc>
          <w:tcPr>
            <w:tcW w:w="1485" w:type="dxa"/>
            <w:shd w:val="clear" w:color="auto" w:fill="auto"/>
            <w:noWrap w:val="0"/>
            <w:vAlign w:val="center"/>
          </w:tcPr>
          <w:p w14:paraId="2E685E90">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0F58A2A7">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7F98316A">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r w14:paraId="1B19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73E1A0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4182F4BE">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可吸收血管封合医用胶</w:t>
            </w:r>
          </w:p>
        </w:tc>
        <w:tc>
          <w:tcPr>
            <w:tcW w:w="1485" w:type="dxa"/>
            <w:shd w:val="clear" w:color="auto" w:fill="auto"/>
            <w:noWrap w:val="0"/>
            <w:vAlign w:val="center"/>
          </w:tcPr>
          <w:p w14:paraId="06E70C55">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5C7F48B6">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6C4F583">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r w14:paraId="1639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25B4C45">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06B6F5A5">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导引导丝</w:t>
            </w:r>
          </w:p>
        </w:tc>
        <w:tc>
          <w:tcPr>
            <w:tcW w:w="1485" w:type="dxa"/>
            <w:shd w:val="clear" w:color="auto" w:fill="auto"/>
            <w:noWrap w:val="0"/>
            <w:vAlign w:val="center"/>
          </w:tcPr>
          <w:p w14:paraId="1A4DF8C5">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E1DF32D">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w:t>
            </w:r>
          </w:p>
        </w:tc>
        <w:tc>
          <w:tcPr>
            <w:tcW w:w="1594" w:type="dxa"/>
            <w:noWrap w:val="0"/>
            <w:vAlign w:val="center"/>
          </w:tcPr>
          <w:p w14:paraId="7329A84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r w14:paraId="39FC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365844B">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包四</w:t>
            </w:r>
          </w:p>
        </w:tc>
        <w:tc>
          <w:tcPr>
            <w:tcW w:w="2298" w:type="dxa"/>
            <w:shd w:val="clear" w:color="auto" w:fill="auto"/>
            <w:noWrap w:val="0"/>
            <w:vAlign w:val="center"/>
          </w:tcPr>
          <w:p w14:paraId="51B1A021">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可调弯鞘</w:t>
            </w:r>
          </w:p>
        </w:tc>
        <w:tc>
          <w:tcPr>
            <w:tcW w:w="1485" w:type="dxa"/>
            <w:shd w:val="clear" w:color="auto" w:fill="auto"/>
            <w:noWrap w:val="0"/>
            <w:vAlign w:val="center"/>
          </w:tcPr>
          <w:p w14:paraId="1D4C4B66">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51EEF9D">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w:t>
            </w:r>
          </w:p>
        </w:tc>
        <w:tc>
          <w:tcPr>
            <w:tcW w:w="1594" w:type="dxa"/>
            <w:noWrap w:val="0"/>
            <w:vAlign w:val="center"/>
          </w:tcPr>
          <w:p w14:paraId="28E50494">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r w14:paraId="60BC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B1C0A24">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包五</w:t>
            </w:r>
          </w:p>
        </w:tc>
        <w:tc>
          <w:tcPr>
            <w:tcW w:w="2298" w:type="dxa"/>
            <w:shd w:val="clear" w:color="auto" w:fill="auto"/>
            <w:noWrap w:val="0"/>
            <w:vAlign w:val="center"/>
          </w:tcPr>
          <w:p w14:paraId="009228E2">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穿刺扩张器</w:t>
            </w:r>
          </w:p>
        </w:tc>
        <w:tc>
          <w:tcPr>
            <w:tcW w:w="1485" w:type="dxa"/>
            <w:shd w:val="clear" w:color="auto" w:fill="auto"/>
            <w:noWrap w:val="0"/>
            <w:vAlign w:val="center"/>
          </w:tcPr>
          <w:p w14:paraId="4D9AFB48">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72E527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D0A5A5C">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r w14:paraId="283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412AF7C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包六</w:t>
            </w:r>
          </w:p>
        </w:tc>
        <w:tc>
          <w:tcPr>
            <w:tcW w:w="2298" w:type="dxa"/>
            <w:shd w:val="clear" w:color="auto" w:fill="auto"/>
            <w:noWrap w:val="0"/>
            <w:vAlign w:val="center"/>
          </w:tcPr>
          <w:p w14:paraId="333AA832">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动脉减容装置</w:t>
            </w:r>
          </w:p>
        </w:tc>
        <w:tc>
          <w:tcPr>
            <w:tcW w:w="1485" w:type="dxa"/>
            <w:shd w:val="clear" w:color="auto" w:fill="auto"/>
            <w:noWrap w:val="0"/>
            <w:vAlign w:val="center"/>
          </w:tcPr>
          <w:p w14:paraId="1D70A605">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0AC91F7E">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19686835">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r w14:paraId="7FDB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87" w:type="dxa"/>
            <w:noWrap w:val="0"/>
            <w:vAlign w:val="center"/>
          </w:tcPr>
          <w:p w14:paraId="6522D13D">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包七</w:t>
            </w:r>
          </w:p>
        </w:tc>
        <w:tc>
          <w:tcPr>
            <w:tcW w:w="2298" w:type="dxa"/>
            <w:shd w:val="clear"/>
            <w:noWrap w:val="0"/>
            <w:vAlign w:val="center"/>
          </w:tcPr>
          <w:p w14:paraId="26D088FE">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外周静脉取栓支架系统</w:t>
            </w:r>
          </w:p>
        </w:tc>
        <w:tc>
          <w:tcPr>
            <w:tcW w:w="1485" w:type="dxa"/>
            <w:shd w:val="clear" w:color="auto" w:fill="auto"/>
            <w:noWrap w:val="0"/>
            <w:vAlign w:val="center"/>
          </w:tcPr>
          <w:p w14:paraId="5C0193F2">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217E935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5A44EC22">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血管疝腹壁外科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包六五年，其余三年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5.包一至包六为院内产品重招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76373866"/>
      <w:bookmarkStart w:id="20" w:name="_Toc26504"/>
      <w:bookmarkStart w:id="21" w:name="_Toc3434"/>
      <w:bookmarkStart w:id="22" w:name="_Toc30358"/>
      <w:bookmarkStart w:id="23" w:name="_Toc25496"/>
      <w:bookmarkStart w:id="24" w:name="_Toc10137"/>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血管疝腹壁外科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血管疝腹壁外科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血管疝腹壁外科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9714"/>
      <w:bookmarkStart w:id="40" w:name="_Toc14224"/>
      <w:bookmarkStart w:id="41" w:name="_Toc4033"/>
      <w:bookmarkStart w:id="42" w:name="_Toc76373872"/>
      <w:bookmarkStart w:id="43" w:name="_Toc25272"/>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2599"/>
      <w:bookmarkStart w:id="49" w:name="_Toc11474"/>
      <w:bookmarkStart w:id="50" w:name="_Toc3153"/>
      <w:bookmarkStart w:id="51" w:name="_Toc763738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620"/>
      <w:bookmarkStart w:id="55" w:name="_Toc30465"/>
      <w:bookmarkStart w:id="56" w:name="_Toc29225"/>
      <w:bookmarkStart w:id="57" w:name="_Toc76373876"/>
      <w:bookmarkStart w:id="58" w:name="_Toc6355"/>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960631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1.用途：该产品使用于腹腔镜以及开放手术中，固定疝补片等对软组织进行修补的材料。</w:t>
      </w:r>
    </w:p>
    <w:p w14:paraId="7518640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2.可吸收钉采用可吸收材料制成（如 聚L-丙交-乙交脂（PLGA）等），可在体内逐步降解吸收，减少长期异物残留。</w:t>
      </w:r>
    </w:p>
    <w:p w14:paraId="375622A1">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3.植入体内可维持组织修复所需力学强度，6-14个月内可完全吸收。</w:t>
      </w:r>
    </w:p>
    <w:p w14:paraId="6777EF4A">
      <w:p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4.钉帽直径4.8-5.2mm，固定钉高度5.0-5.3mm，钉体结构适配，能够有效固定大网孔疝补片，穿刺顺畅、不易脱出。通过添加染料，便于镜下识别</w:t>
      </w:r>
      <w:r>
        <w:rPr>
          <w:rFonts w:hint="eastAsia" w:ascii="Times New Roman" w:hAnsi="Times New Roman" w:eastAsia="宋体" w:cs="Times New Roman"/>
          <w:b w:val="0"/>
          <w:bCs w:val="0"/>
          <w:color w:val="auto"/>
          <w:sz w:val="24"/>
          <w:szCs w:val="24"/>
          <w:lang w:val="en-US" w:eastAsia="zh-CN"/>
        </w:rPr>
        <w:t>。</w:t>
      </w:r>
    </w:p>
    <w:p w14:paraId="797BA269">
      <w:p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bookmarkStart w:id="192" w:name="_GoBack"/>
      <w:bookmarkEnd w:id="192"/>
    </w:p>
    <w:p w14:paraId="5437C291">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3012E435">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1.用途：用于血管重建时，通过物理/机械封闭方式辅助血管封闭，实现止血封合。</w:t>
      </w:r>
    </w:p>
    <w:p w14:paraId="7F42997D">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2.不同组分混合后能快速成胶（成胶时间通常为数秒至2分钟内），以适应外科术中不同出血压力下的快速止血封合需求。</w:t>
      </w:r>
    </w:p>
    <w:p w14:paraId="5C72A60E">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3.不依赖患者自身凝血机制，适用于凝血功能异常、术后抗凝患者的血管封合止血。</w:t>
      </w:r>
    </w:p>
    <w:p w14:paraId="2F8A4569">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4.植入体内后，在一定周期内完全降解吸收（6个月内）。</w:t>
      </w:r>
    </w:p>
    <w:p w14:paraId="56A4E28A">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5.产品为双液型或粉液型，含可吸收高分子材料及相应交联剂/稀释液。配套工具完整，含注射器、混液喷头或涂药装置等。</w:t>
      </w:r>
    </w:p>
    <w:p w14:paraId="6AB6EDE3">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p>
    <w:p w14:paraId="4D875CED">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7CF5323F">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1.用途（功能需求）：该产品主要用在进行经皮腔内血管成形术（PTA）的过程中，预期用于内脏动脉的介入手术，如肾动脉、肠系膜上动脉、腹腔干动脉。</w:t>
      </w:r>
    </w:p>
    <w:p w14:paraId="7A263E1C">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2.技术参数：直径0.035 inch； 提供多种长度规格，如 210cm、300cm等；干湿状态都具备润滑性，不需要遇水激活；近端、远端疏水涂层，保留触觉反馈</w:t>
      </w:r>
    </w:p>
    <w:p w14:paraId="27652E7D">
      <w:p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3.产品组成和成分：体芯（芯丝直达头端弹簧圈），无分段焊接断点</w:t>
      </w:r>
      <w:r>
        <w:rPr>
          <w:rFonts w:hint="eastAsia" w:ascii="Times New Roman" w:hAnsi="Times New Roman" w:eastAsia="宋体" w:cs="Times New Roman"/>
          <w:b w:val="0"/>
          <w:bCs w:val="0"/>
          <w:color w:val="auto"/>
          <w:sz w:val="24"/>
          <w:szCs w:val="24"/>
          <w:lang w:val="en-US" w:eastAsia="zh-CN"/>
        </w:rPr>
        <w:t>。</w:t>
      </w:r>
    </w:p>
    <w:p w14:paraId="16CA6129">
      <w:p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p>
    <w:p w14:paraId="5A261BB0">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4</w:t>
      </w:r>
    </w:p>
    <w:p w14:paraId="0580D18E">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1.用途：适用于外周血管中为器械导入建立通路，比如肾动脉、内脏动脉、弓部分支超选，髂动脉、主动脉原位开窗。</w:t>
      </w:r>
    </w:p>
    <w:p w14:paraId="2EC40CF4">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2.技术参数：</w:t>
      </w:r>
    </w:p>
    <w:p w14:paraId="6CA08338">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（1）直径：5F-14F ；</w:t>
      </w:r>
    </w:p>
    <w:p w14:paraId="208EB242">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（2）长度：55cm、70cm、80cm、90cm等多种规格 ；</w:t>
      </w:r>
    </w:p>
    <w:p w14:paraId="7C60D36E">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（3）调弯段弧长：25mm或50mm（不同型号）；</w:t>
      </w:r>
    </w:p>
    <w:p w14:paraId="6E6122B9">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（4）弯曲角度：头端0-160°任意可调，支持术中动态调整方向。</w:t>
      </w:r>
    </w:p>
    <w:p w14:paraId="7B77257E">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（5）材质：鞘管主体采用医用级聚合物，兼具柔顺性与抗折弯性；可能含金属丝增强结构以提升支撑力。</w:t>
      </w:r>
    </w:p>
    <w:p w14:paraId="200E4E25">
      <w:pPr>
        <w:spacing w:line="320" w:lineRule="exact"/>
        <w:ind w:left="478" w:leftChars="85" w:hanging="240" w:hangingChars="100"/>
        <w:jc w:val="left"/>
        <w:rPr>
          <w:rFonts w:hint="eastAsia" w:ascii="Times New Roman" w:hAnsi="Times New Roman" w:cs="Times New Roman"/>
          <w:b w:val="0"/>
          <w:bCs w:val="0"/>
          <w:color w:val="auto"/>
          <w:sz w:val="24"/>
          <w:szCs w:val="24"/>
          <w:lang w:val="en-US" w:eastAsia="zh-CN"/>
        </w:rPr>
      </w:pPr>
    </w:p>
    <w:p w14:paraId="61F60F1B">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5</w:t>
      </w:r>
    </w:p>
    <w:p w14:paraId="3F98D67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1.用途：用于经皮穿刺手术中扩张皮肤、皮下组织及血管壁的穿刺通道，为支架输送器等介入器械的导入提供通路。适用于胸主动脉腔内修复术、腹主动脉瘤腔内修复术等需要建立大口径血管通路的场景。</w:t>
      </w:r>
    </w:p>
    <w:p w14:paraId="4DF2C741">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2.技术参数：</w:t>
      </w:r>
    </w:p>
    <w:p w14:paraId="07269AC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（1）性状：一次性使用无菌耗材，由尖端、变径段和主体段组成，表面覆盖亲水涂层以降低摩擦系数。</w:t>
      </w:r>
    </w:p>
    <w:p w14:paraId="7D51761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（2）物理尺寸：直径范围：14F至24F。</w:t>
      </w:r>
    </w:p>
    <w:p w14:paraId="77B82DC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（3）长度范围：整体长度10-30cm，尖端部分锥度设计，变径段由多组圆柱段和锥形段交替构。</w:t>
      </w:r>
    </w:p>
    <w:p w14:paraId="538FB8EB">
      <w:pPr>
        <w:pStyle w:val="31"/>
        <w:rPr>
          <w:rFonts w:hint="default"/>
          <w:lang w:val="en-US" w:eastAsia="zh-CN"/>
        </w:rPr>
      </w:pPr>
    </w:p>
    <w:p w14:paraId="01D13BF7">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6</w:t>
      </w:r>
    </w:p>
    <w:p w14:paraId="12558C3B">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1.用途：主要用于外周动脉闭塞性（血栓或斑块）疾病的机械减容手术。</w:t>
      </w:r>
    </w:p>
    <w:p w14:paraId="46CFD80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2.导管规格包括但不限于4F-10F等。</w:t>
      </w:r>
    </w:p>
    <w:p w14:paraId="25E04AD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3.可提供稳定的负压抽吸力，工作过程包含旋切+抽吸。</w:t>
      </w:r>
    </w:p>
    <w:p w14:paraId="58C90FBA">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4.采购相应的配套设备</w:t>
      </w:r>
      <w:r>
        <w:rPr>
          <w:rFonts w:hint="eastAsia" w:ascii="Times New Roman" w:hAnsi="Times New Roman" w:eastAsia="宋体" w:cs="Times New Roman"/>
          <w:b w:val="0"/>
          <w:bCs w:val="0"/>
          <w:color w:val="auto"/>
          <w:sz w:val="24"/>
          <w:szCs w:val="24"/>
          <w:lang w:val="en-US" w:eastAsia="zh-CN"/>
        </w:rPr>
        <w:t>。</w:t>
      </w:r>
    </w:p>
    <w:p w14:paraId="1E9733B4">
      <w:pPr>
        <w:pStyle w:val="31"/>
        <w:rPr>
          <w:rFonts w:hint="default"/>
          <w:lang w:val="en-US" w:eastAsia="zh-CN"/>
        </w:rPr>
      </w:pPr>
    </w:p>
    <w:p w14:paraId="13D2AB7B">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7</w:t>
      </w:r>
    </w:p>
    <w:p w14:paraId="7A4A63C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1.该产品适用于急性或亚急性下肢深静脉血栓的清除治疗。</w:t>
      </w:r>
    </w:p>
    <w:p w14:paraId="76E69BF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2.产品为静脉腔内血栓清除成套系统，包括导管和支架两部分。</w:t>
      </w:r>
    </w:p>
    <w:p w14:paraId="20887712">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3.提供多种规格鞘管外径供选择，8F-24F，导管长度30-90cm。</w:t>
      </w:r>
    </w:p>
    <w:p w14:paraId="608324D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4.导管具备不透射线标记。</w:t>
      </w:r>
    </w:p>
    <w:p w14:paraId="7505217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5.系统配套或兼容手动/机械式负压抽吸设备。</w:t>
      </w:r>
    </w:p>
    <w:p w14:paraId="1E382FF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6.支架为自膨式设计，输送鞘外径尽可能小，符合临床操作需求，具备良好的推送性和追踪性，具备不透射线标记。</w:t>
      </w:r>
    </w:p>
    <w:p w14:paraId="4C0C7AD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7.提供多种尺寸支架供选择，支架直径覆盖6-30mm，支架长度覆盖5-25cm。</w:t>
      </w:r>
    </w:p>
    <w:p w14:paraId="22D89A6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38F5FA0E">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34D4AED4">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23D6F551">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4791"/>
      <w:bookmarkStart w:id="63" w:name="_Toc1768"/>
      <w:bookmarkStart w:id="64" w:name="_Toc76373878"/>
      <w:bookmarkStart w:id="65" w:name="_Toc24122"/>
      <w:bookmarkStart w:id="66" w:name="_Toc17524"/>
      <w:bookmarkStart w:id="67" w:name="_Toc17944"/>
      <w:bookmarkStart w:id="68" w:name="_Toc31843"/>
      <w:bookmarkStart w:id="69" w:name="_Toc7794"/>
      <w:bookmarkStart w:id="70" w:name="_Toc2072"/>
      <w:bookmarkStart w:id="71" w:name="_Toc15650"/>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5959"/>
      <w:bookmarkStart w:id="74" w:name="_Toc9339"/>
      <w:bookmarkStart w:id="75" w:name="_Toc22561"/>
      <w:bookmarkStart w:id="76" w:name="_Toc30551"/>
      <w:bookmarkStart w:id="77" w:name="_Toc76373879"/>
      <w:bookmarkStart w:id="78" w:name="_Toc14311"/>
      <w:bookmarkStart w:id="79" w:name="_Toc29836"/>
      <w:bookmarkStart w:id="80" w:name="_Toc13528"/>
      <w:bookmarkStart w:id="81" w:name="_Toc1690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12384"/>
      <w:bookmarkStart w:id="84" w:name="_Toc20772"/>
      <w:bookmarkStart w:id="85" w:name="_Toc27893"/>
      <w:bookmarkStart w:id="86" w:name="_Toc20263"/>
      <w:bookmarkStart w:id="87" w:name="_Toc76373885"/>
      <w:bookmarkStart w:id="88" w:name="_Toc27737"/>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23699"/>
      <w:bookmarkStart w:id="92" w:name="_Toc11052"/>
      <w:bookmarkStart w:id="93" w:name="_Toc12712"/>
      <w:bookmarkStart w:id="94" w:name="_Toc76373886"/>
      <w:bookmarkStart w:id="95" w:name="_Toc7115"/>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9809"/>
      <w:bookmarkStart w:id="98" w:name="_Toc31293"/>
      <w:bookmarkStart w:id="99" w:name="_Toc9147"/>
      <w:bookmarkStart w:id="100" w:name="_Toc13585"/>
      <w:bookmarkStart w:id="101" w:name="_Toc5535"/>
      <w:bookmarkStart w:id="102" w:name="_Toc26754"/>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30068"/>
      <w:bookmarkStart w:id="106" w:name="_Toc5251"/>
      <w:bookmarkStart w:id="107" w:name="_Toc76373889"/>
      <w:bookmarkStart w:id="108" w:name="_Toc16925"/>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76373890"/>
      <w:bookmarkStart w:id="114" w:name="_Toc11654"/>
      <w:bookmarkStart w:id="115" w:name="_Toc20034"/>
      <w:bookmarkStart w:id="116" w:name="_Toc26071"/>
      <w:bookmarkStart w:id="117" w:name="_Toc11342"/>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10864"/>
      <w:bookmarkStart w:id="121" w:name="_Toc76373891"/>
      <w:bookmarkStart w:id="122" w:name="_Toc20391"/>
      <w:bookmarkStart w:id="123" w:name="_Toc25199"/>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20762"/>
      <w:bookmarkStart w:id="133" w:name="_Toc24088"/>
      <w:bookmarkStart w:id="134" w:name="_Toc2975"/>
      <w:bookmarkStart w:id="135" w:name="_Toc76373904"/>
      <w:bookmarkStart w:id="136" w:name="_Toc19409"/>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763"/>
      <w:bookmarkStart w:id="138" w:name="_Toc12863"/>
      <w:bookmarkStart w:id="139" w:name="_Toc76373907"/>
      <w:bookmarkStart w:id="140" w:name="_Toc11892"/>
      <w:bookmarkStart w:id="141" w:name="_Toc16112"/>
      <w:bookmarkStart w:id="142" w:name="_Toc7750"/>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3094"/>
      <w:bookmarkStart w:id="153"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21431"/>
      <w:bookmarkStart w:id="166" w:name="_Toc27306"/>
      <w:bookmarkStart w:id="167" w:name="_Toc21830"/>
      <w:bookmarkStart w:id="168" w:name="_Toc493178790"/>
      <w:bookmarkStart w:id="169" w:name="_Toc76373909"/>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2721039"/>
      <w:bookmarkStart w:id="174" w:name="_Toc16487"/>
      <w:bookmarkStart w:id="175" w:name="_Toc20258"/>
      <w:bookmarkStart w:id="176" w:name="_Toc411"/>
      <w:bookmarkStart w:id="177" w:name="_Toc12647"/>
      <w:bookmarkStart w:id="178" w:name="_Toc20875"/>
      <w:bookmarkStart w:id="179" w:name="_Toc76373910"/>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8925"/>
      <w:bookmarkStart w:id="183" w:name="_Toc492721038"/>
      <w:bookmarkStart w:id="184" w:name="_Toc493178793"/>
      <w:bookmarkStart w:id="185" w:name="_Toc16151"/>
      <w:bookmarkStart w:id="186" w:name="_Toc6217"/>
      <w:bookmarkStart w:id="187" w:name="_Toc20605"/>
      <w:bookmarkStart w:id="188" w:name="_Toc19291"/>
      <w:bookmarkStart w:id="189" w:name="_Toc4250"/>
      <w:bookmarkStart w:id="190" w:name="_Toc76373912"/>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A85CE38">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0B72B21-A454-4CAD-9A51-3805F1AD2DBF}"/>
  </w:font>
  <w:font w:name="黑体">
    <w:panose1 w:val="02010609060101010101"/>
    <w:charset w:val="86"/>
    <w:family w:val="auto"/>
    <w:pitch w:val="default"/>
    <w:sig w:usb0="800002BF" w:usb1="38CF7CFA" w:usb2="00000016" w:usb3="00000000" w:csb0="00040001" w:csb1="00000000"/>
    <w:embedRegular r:id="rId2" w:fontKey="{DEAFC5EC-C85D-4A13-A7DD-57F67C1524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D6D14F89-E2B1-4EFB-BCC7-EF35DB05C01B}"/>
  </w:font>
  <w:font w:name="Arial Unicode MS">
    <w:panose1 w:val="020B0604020202020204"/>
    <w:charset w:val="86"/>
    <w:family w:val="roman"/>
    <w:pitch w:val="default"/>
    <w:sig w:usb0="FFFFFFFF" w:usb1="E9FFFFFF" w:usb2="0000003F" w:usb3="00000000" w:csb0="603F01FF" w:csb1="FFFF0000"/>
    <w:embedRegular r:id="rId4" w:fontKey="{0985C7A3-2FBC-4998-B1DB-A5632E01B55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B6B0DC94-C5C4-47AB-9961-59B561420A55}"/>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1DF537AD-85DB-43F8-9600-4DC6A6FE0CAC}"/>
  </w:font>
  <w:font w:name="方正黑体_GBK">
    <w:panose1 w:val="03000509000000000000"/>
    <w:charset w:val="86"/>
    <w:family w:val="script"/>
    <w:pitch w:val="default"/>
    <w:sig w:usb0="00000001" w:usb1="080E0000" w:usb2="00000000" w:usb3="00000000" w:csb0="00040000" w:csb1="00000000"/>
    <w:embedRegular r:id="rId7" w:fontKey="{70D58299-1673-4C8E-87B5-CC01D0F8F7FB}"/>
  </w:font>
  <w:font w:name="方正小标宋_GBK">
    <w:panose1 w:val="03000509000000000000"/>
    <w:charset w:val="86"/>
    <w:family w:val="script"/>
    <w:pitch w:val="default"/>
    <w:sig w:usb0="00000001" w:usb1="080E0000" w:usb2="00000000" w:usb3="00000000" w:csb0="00040000" w:csb1="00000000"/>
    <w:embedRegular r:id="rId8" w:fontKey="{7B967ABE-C918-423F-BE29-51ADC2D7AD62}"/>
  </w:font>
  <w:font w:name="微软雅黑">
    <w:panose1 w:val="020B0503020204020204"/>
    <w:charset w:val="86"/>
    <w:family w:val="swiss"/>
    <w:pitch w:val="default"/>
    <w:sig w:usb0="80000287" w:usb1="2ACF3C50" w:usb2="00000016" w:usb3="00000000" w:csb0="0004001F" w:csb1="00000000"/>
    <w:embedRegular r:id="rId9" w:fontKey="{6B8A5F93-7AB7-4087-9B5D-E688D1BD6875}"/>
  </w:font>
  <w:font w:name="仿宋">
    <w:panose1 w:val="02010609060101010101"/>
    <w:charset w:val="86"/>
    <w:family w:val="modern"/>
    <w:pitch w:val="default"/>
    <w:sig w:usb0="800002BF" w:usb1="38CF7CFA" w:usb2="00000016" w:usb3="00000000" w:csb0="00040001" w:csb1="00000000"/>
    <w:embedRegular r:id="rId10" w:fontKey="{70435FDB-13A5-421E-914A-C22C4E2FDB9C}"/>
  </w:font>
  <w:font w:name="WPSEMBED28">
    <w:panose1 w:val="03000509000000000000"/>
    <w:charset w:val="86"/>
    <w:family w:val="auto"/>
    <w:pitch w:val="default"/>
    <w:sig w:usb0="00000001" w:usb1="080E0000" w:usb2="00000000" w:usb3="00000000" w:csb0="00040000" w:csb1="00000000"/>
  </w:font>
  <w:font w:name="WPSEMBED29">
    <w:panose1 w:val="03000509000000000000"/>
    <w:charset w:val="86"/>
    <w:family w:val="auto"/>
    <w:pitch w:val="default"/>
    <w:sig w:usb0="00000001" w:usb1="080E0000" w:usb2="00000000" w:usb3="00000000" w:csb0="00040000" w:csb1="00000000"/>
  </w:font>
  <w:font w:name="WPSEMBED26">
    <w:panose1 w:val="02010609030101010101"/>
    <w:charset w:val="86"/>
    <w:family w:val="auto"/>
    <w:pitch w:val="default"/>
    <w:sig w:usb0="00000001" w:usb1="080E0000" w:usb2="00000000" w:usb3="00000000" w:csb0="00040000" w:csb1="00000000"/>
  </w:font>
  <w:font w:name="WPSEMBED30">
    <w:panose1 w:val="03000509000000000000"/>
    <w:charset w:val="86"/>
    <w:family w:val="auto"/>
    <w:pitch w:val="default"/>
    <w:sig w:usb0="00000001" w:usb1="080E0000" w:usb2="00000000" w:usb3="00000000" w:csb0="00040000" w:csb1="00000000"/>
  </w:font>
  <w:font w:name="WPSEMBED2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AA383C"/>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6037</Words>
  <Characters>6207</Characters>
  <Lines>101</Lines>
  <Paragraphs>28</Paragraphs>
  <TotalTime>3</TotalTime>
  <ScaleCrop>false</ScaleCrop>
  <LinksUpToDate>false</LinksUpToDate>
  <CharactersWithSpaces>6750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2026-07-24T08:03:52Z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