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31066"/>
      <w:bookmarkStart w:id="2" w:name="_Toc76373863"/>
      <w:bookmarkStart w:id="3" w:name="_Toc1304"/>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76373864"/>
      <w:bookmarkStart w:id="8" w:name="_Toc28264"/>
      <w:bookmarkStart w:id="9" w:name="_Toc5909"/>
      <w:bookmarkStart w:id="10" w:name="_Toc15376"/>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0AACAC8">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胸心外科双极射频消融隔离钳及连接带、双极射频消融笔、一次性使用肺结节定位针</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22707"/>
            <w:bookmarkStart w:id="16" w:name="_Toc22129"/>
            <w:bookmarkStart w:id="17" w:name="_Toc76373865"/>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双极射频消融隔离钳及连接带、双极射频消融笔</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胸心外科</w:t>
            </w:r>
          </w:p>
        </w:tc>
      </w:tr>
      <w:tr w14:paraId="0C4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DC8A77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57EA6623">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一次性使用肺结节定位针</w:t>
            </w:r>
          </w:p>
        </w:tc>
        <w:tc>
          <w:tcPr>
            <w:tcW w:w="1485" w:type="dxa"/>
            <w:shd w:val="clear" w:color="auto" w:fill="auto"/>
            <w:noWrap w:val="0"/>
            <w:vAlign w:val="center"/>
          </w:tcPr>
          <w:p w14:paraId="141C4D0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B211EF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B2C576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胸心外科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rPr>
      </w:pPr>
      <w:bookmarkStart w:id="19" w:name="_Toc76373866"/>
      <w:bookmarkStart w:id="20" w:name="_Toc3434"/>
      <w:bookmarkStart w:id="21" w:name="_Toc30358"/>
      <w:bookmarkStart w:id="22" w:name="_Toc26504"/>
      <w:bookmarkStart w:id="23" w:name="_Toc25496"/>
      <w:bookmarkStart w:id="24" w:name="_Toc10137"/>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654"/>
      <w:bookmarkStart w:id="31" w:name="_Toc28099"/>
      <w:bookmarkStart w:id="32" w:name="_Toc7527"/>
      <w:bookmarkStart w:id="33" w:name="_Toc187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胸心外科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胸心外科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胸心外</w:t>
      </w:r>
      <w:r>
        <w:rPr>
          <w:rFonts w:hint="eastAsia" w:ascii="宋体" w:hAnsi="宋体" w:cs="宋体"/>
          <w:color w:val="auto"/>
          <w:sz w:val="24"/>
          <w:szCs w:val="24"/>
          <w:u w:val="single"/>
          <w:lang w:val="en-US" w:eastAsia="zh-CN"/>
        </w:rPr>
        <w:t>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i w:val="0"/>
          <w:iCs w:val="0"/>
          <w:color w:val="auto"/>
          <w:kern w:val="0"/>
          <w:sz w:val="24"/>
          <w:szCs w:val="24"/>
          <w:u w:val="none"/>
          <w:lang w:val="en-US" w:eastAsia="zh-CN" w:bidi="ar"/>
        </w:rPr>
        <w:t>胸心外</w:t>
      </w:r>
      <w:r>
        <w:rPr>
          <w:rFonts w:hint="eastAsia" w:ascii="宋体" w:hAnsi="宋体" w:cs="宋体"/>
          <w:color w:val="auto"/>
          <w:sz w:val="24"/>
          <w:szCs w:val="24"/>
          <w:u w:val="single"/>
          <w:lang w:val="en-US" w:eastAsia="zh-CN"/>
        </w:rPr>
        <w:t>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bookmarkStart w:id="195" w:name="_GoBack"/>
      <w:bookmarkEnd w:id="195"/>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9714"/>
      <w:bookmarkStart w:id="43" w:name="_Toc14224"/>
      <w:bookmarkStart w:id="44" w:name="_Toc4033"/>
      <w:bookmarkStart w:id="45" w:name="_Toc25272"/>
      <w:bookmarkStart w:id="46" w:name="_Toc76373872"/>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76373874"/>
      <w:bookmarkStart w:id="51" w:name="_Toc2599"/>
      <w:bookmarkStart w:id="52" w:name="_Toc13391"/>
      <w:bookmarkStart w:id="53" w:name="_Toc11474"/>
      <w:bookmarkStart w:id="54" w:name="_Toc3153"/>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6355"/>
      <w:bookmarkStart w:id="59" w:name="_Toc76373876"/>
      <w:bookmarkStart w:id="60" w:name="_Toc29620"/>
      <w:bookmarkStart w:id="61" w:name="_Toc30465"/>
      <w:bookmarkStart w:id="62" w:name="_Toc1955"/>
      <w:bookmarkStart w:id="63"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1双极射频消融隔离钳及连接带、双极射频消融笔</w:t>
      </w:r>
    </w:p>
    <w:p w14:paraId="39081864">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一、双极射频消融隔离钳（配套连接带）</w:t>
      </w:r>
    </w:p>
    <w:p w14:paraId="3DE4D764">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1、适用于心脏外科手术，配合射频发生设备输出射频能量，对心肌组织实施透壁消融隔离，用于心律失常（房颤）外科治疗；</w:t>
      </w:r>
    </w:p>
    <w:p w14:paraId="2525716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2、钳夹夹持压力区间 3–10 g/mm²，可根据心肌组织厚度自适应形成连续完整消融损伤；</w:t>
      </w:r>
    </w:p>
    <w:p w14:paraId="67A06608">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3、钳口有效电极工作长度 50–65mm，提供多种电极长度规格可选；</w:t>
      </w:r>
    </w:p>
    <w:p w14:paraId="0CDAC39D">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4、产品包含双极射频电极、可平行闭合钳口、手柄、硬质鞘管、闭合锁定机构，配套连接带；鞘管可采用不锈钢或高强度合金材料。</w:t>
      </w:r>
    </w:p>
    <w:p w14:paraId="026E9636">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二、双极射频消融笔</w:t>
      </w:r>
    </w:p>
    <w:p w14:paraId="326A01AD">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1、心外科手术配套使用，通过射频能量精准作用于目标心肌组织，完成局部消融、精细病灶隔离，辅助心律失常外科治疗。</w:t>
      </w:r>
    </w:p>
    <w:p w14:paraId="7E485BC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2、消融电极有效工作长度 6–9mm；电极单条宽度 0.8–1.2mm；双电极中心间距 2.5–3.5mm；</w:t>
      </w:r>
    </w:p>
    <w:p w14:paraId="676887B4">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3、产品包含消融工作头、双极电极、手柄、电缆等。</w:t>
      </w:r>
    </w:p>
    <w:p w14:paraId="617D8240">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2一次性使用肺结节定位针</w:t>
      </w:r>
    </w:p>
    <w:p w14:paraId="529D42FA">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1.用于肺结节患者接受胸腔镜手术前的CT引导下的肺结节定位，辅助术中精准定位病灶，适配肺楔形切除、肺段切除等各类胸外科手术。</w:t>
      </w:r>
    </w:p>
    <w:p w14:paraId="3D7F115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2.穿刺针针管总长≥100mm，定位线总长≥110mm，满足临床深部穿刺定位需求，尺寸允许常规工艺公差浮动。</w:t>
      </w:r>
    </w:p>
    <w:p w14:paraId="0994CCEB">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3.穿刺针采用医用不锈钢材质，针管外径0.8mm-1.0mm；针管外壁带有清晰刻度标识，刻度间隔≤1cm，可精准直观指示穿刺深度，便于术中把控穿刺进程。</w:t>
      </w:r>
    </w:p>
    <w:p w14:paraId="5D4755C6">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4.定位线采用医用柔性无毒材质，具备良好柔韧性、组织相容性，可有效贴合肺组织；</w:t>
      </w:r>
    </w:p>
    <w:p w14:paraId="0E695B8E">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5.定位线采用多色分段设计（三色分段结构），带精细刻度，刻度间隔≤0.5cm，单段颜色有效长度≥3cm。</w:t>
      </w:r>
    </w:p>
    <w:p w14:paraId="27E2C9E7">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6.锚定针采用医用合金材质，对称式四爪圆弧鱼钩型结构，单爪有效长度3.5mm-4.5mm，爪体张开直径4.0mm-5.0mm。爪体纤细、尖端圆润钝化，释放后可自主贴合抓取邻近肺组织，锚定稳固。</w:t>
      </w:r>
    </w:p>
    <w:p w14:paraId="1F2857B0">
      <w:pPr>
        <w:pStyle w:val="2"/>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7.产品包括防后撤锁定结构、防误击发安全卡扣、穿刺针组件、多色刻度定位线、锚定定位针、推送释放装置、防护套管等，结果完整。</w:t>
      </w: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2072"/>
      <w:bookmarkStart w:id="66" w:name="_Toc15650"/>
      <w:bookmarkStart w:id="67" w:name="_Toc17524"/>
      <w:bookmarkStart w:id="68" w:name="_Toc17944"/>
      <w:bookmarkStart w:id="69" w:name="_Toc1768"/>
      <w:bookmarkStart w:id="70" w:name="_Toc24122"/>
      <w:bookmarkStart w:id="71" w:name="_Toc4791"/>
      <w:bookmarkStart w:id="72" w:name="_Toc76373878"/>
      <w:bookmarkStart w:id="73" w:name="_Toc31843"/>
      <w:bookmarkStart w:id="74" w:name="_Toc7794"/>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29836"/>
      <w:bookmarkStart w:id="77" w:name="_Toc9339"/>
      <w:bookmarkStart w:id="78" w:name="_Toc14311"/>
      <w:bookmarkStart w:id="79" w:name="_Toc5959"/>
      <w:bookmarkStart w:id="80" w:name="_Toc22561"/>
      <w:bookmarkStart w:id="81" w:name="_Toc76373879"/>
      <w:bookmarkStart w:id="82" w:name="_Toc30551"/>
      <w:bookmarkStart w:id="83" w:name="_Toc16908"/>
      <w:bookmarkStart w:id="84" w:name="_Toc28942"/>
      <w:bookmarkStart w:id="85"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76373885"/>
      <w:bookmarkStart w:id="87" w:name="_Toc27737"/>
      <w:bookmarkStart w:id="88" w:name="_Toc2258"/>
      <w:bookmarkStart w:id="89" w:name="_Toc27893"/>
      <w:bookmarkStart w:id="90" w:name="_Toc20263"/>
      <w:bookmarkStart w:id="91" w:name="_Toc20772"/>
      <w:bookmarkStart w:id="92" w:name="_Toc12384"/>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8189"/>
      <w:bookmarkStart w:id="94" w:name="_Toc76373886"/>
      <w:bookmarkStart w:id="95" w:name="_Toc12712"/>
      <w:bookmarkStart w:id="96" w:name="_Toc23699"/>
      <w:bookmarkStart w:id="97" w:name="_Toc11052"/>
      <w:bookmarkStart w:id="98" w:name="_Toc7115"/>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31293"/>
      <w:bookmarkStart w:id="101" w:name="_Toc19809"/>
      <w:bookmarkStart w:id="102" w:name="_Toc13585"/>
      <w:bookmarkStart w:id="103" w:name="_Toc9147"/>
      <w:bookmarkStart w:id="104" w:name="_Toc26754"/>
      <w:bookmarkStart w:id="105" w:name="_Toc76373887"/>
      <w:bookmarkStart w:id="106" w:name="_Toc5535"/>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16925"/>
      <w:bookmarkStart w:id="108" w:name="_Toc76373889"/>
      <w:bookmarkStart w:id="109" w:name="_Toc30068"/>
      <w:bookmarkStart w:id="110" w:name="_Toc5251"/>
      <w:bookmarkStart w:id="111" w:name="_Toc2900"/>
      <w:bookmarkStart w:id="112" w:name="_Toc8546"/>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0034"/>
      <w:bookmarkStart w:id="116" w:name="_Toc11654"/>
      <w:bookmarkStart w:id="117" w:name="_Toc27443"/>
      <w:bookmarkStart w:id="118" w:name="_Toc11342"/>
      <w:bookmarkStart w:id="119" w:name="_Toc26071"/>
      <w:bookmarkStart w:id="120" w:name="_Toc76373890"/>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76373891"/>
      <w:bookmarkStart w:id="124" w:name="_Toc25199"/>
      <w:bookmarkStart w:id="125" w:name="_Toc27646"/>
      <w:bookmarkStart w:id="126" w:name="_Toc20391"/>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2975"/>
      <w:bookmarkStart w:id="135" w:name="_Toc10152"/>
      <w:bookmarkStart w:id="136" w:name="_Toc24088"/>
      <w:bookmarkStart w:id="137" w:name="_Toc20762"/>
      <w:bookmarkStart w:id="138" w:name="_Toc76373904"/>
      <w:bookmarkStart w:id="139" w:name="_Toc19409"/>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7750"/>
      <w:bookmarkStart w:id="141" w:name="_Toc16112"/>
      <w:bookmarkStart w:id="142" w:name="_Toc12863"/>
      <w:bookmarkStart w:id="143" w:name="_Toc11892"/>
      <w:bookmarkStart w:id="144" w:name="_Toc11763"/>
      <w:bookmarkStart w:id="145" w:name="_Toc25920"/>
      <w:bookmarkStart w:id="146" w:name="_Toc76373907"/>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10063"/>
      <w:bookmarkStart w:id="155" w:name="_Toc3094"/>
      <w:bookmarkStart w:id="156"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6"/>
      <w:bookmarkStart w:id="159" w:name="OLE_LINK9"/>
      <w:bookmarkStart w:id="160" w:name="_Toc27306"/>
      <w:bookmarkStart w:id="161" w:name="_Toc21431"/>
      <w:bookmarkStart w:id="162" w:name="_Toc21830"/>
      <w:bookmarkStart w:id="163" w:name="_Toc76373909"/>
      <w:bookmarkStart w:id="164" w:name="_Toc9795"/>
      <w:bookmarkStart w:id="165" w:name="_Toc493178790"/>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16487"/>
      <w:bookmarkStart w:id="177" w:name="_Toc12647"/>
      <w:bookmarkStart w:id="178" w:name="_Toc20875"/>
      <w:bookmarkStart w:id="179" w:name="_Toc20258"/>
      <w:bookmarkStart w:id="180" w:name="_Toc76373910"/>
      <w:bookmarkStart w:id="181" w:name="_Toc493178791"/>
      <w:bookmarkStart w:id="182" w:name="_Toc411"/>
      <w:bookmarkStart w:id="183"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493178793"/>
      <w:bookmarkStart w:id="186" w:name="_Toc6217"/>
      <w:bookmarkStart w:id="187" w:name="_Toc76373912"/>
      <w:bookmarkStart w:id="188" w:name="_Toc19291"/>
      <w:bookmarkStart w:id="189" w:name="_Toc492721038"/>
      <w:bookmarkStart w:id="190" w:name="_Toc16151"/>
      <w:bookmarkStart w:id="191" w:name="_Toc4250"/>
      <w:bookmarkStart w:id="192" w:name="_Toc20605"/>
      <w:bookmarkStart w:id="193" w:name="_Toc8925"/>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0FEA1AB-08C3-4A1A-8271-0BE6FB41BA6B}"/>
  </w:font>
  <w:font w:name="黑体">
    <w:panose1 w:val="02010609060101010101"/>
    <w:charset w:val="86"/>
    <w:family w:val="auto"/>
    <w:pitch w:val="default"/>
    <w:sig w:usb0="800002BF" w:usb1="38CF7CFA" w:usb2="00000016" w:usb3="00000000" w:csb0="00040001" w:csb1="00000000"/>
    <w:embedRegular r:id="rId2" w:fontKey="{7F93FAF5-3AD9-470E-83C0-6502F71B0A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7A01A1F-C2F2-4447-949B-A28183A93DAF}"/>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982ACCD9-16B5-47D1-944C-A9EA8150F5C4}"/>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2F34B17F-2AD1-44EA-A347-3CE1080D77D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35558FAD-6048-435F-9817-68FF2EF29524}"/>
  </w:font>
  <w:font w:name="方正黑体_GBK">
    <w:panose1 w:val="03000509000000000000"/>
    <w:charset w:val="86"/>
    <w:family w:val="script"/>
    <w:pitch w:val="default"/>
    <w:sig w:usb0="00000001" w:usb1="080E0000" w:usb2="00000000" w:usb3="00000000" w:csb0="00040000" w:csb1="00000000"/>
    <w:embedRegular r:id="rId7" w:fontKey="{53352B73-11D1-4E00-9DA7-613EB1125E91}"/>
  </w:font>
  <w:font w:name="方正小标宋_GBK">
    <w:panose1 w:val="03000509000000000000"/>
    <w:charset w:val="86"/>
    <w:family w:val="script"/>
    <w:pitch w:val="default"/>
    <w:sig w:usb0="00000001" w:usb1="080E0000" w:usb2="00000000" w:usb3="00000000" w:csb0="00040000" w:csb1="00000000"/>
    <w:embedRegular r:id="rId8" w:fontKey="{F41B96C6-5582-4D1E-A0C3-F73AB93E3329}"/>
  </w:font>
  <w:font w:name="微软雅黑">
    <w:panose1 w:val="020B0503020204020204"/>
    <w:charset w:val="86"/>
    <w:family w:val="swiss"/>
    <w:pitch w:val="default"/>
    <w:sig w:usb0="80000287" w:usb1="2ACF3C50" w:usb2="00000016" w:usb3="00000000" w:csb0="0004001F" w:csb1="00000000"/>
    <w:embedRegular r:id="rId9" w:fontKey="{D496D0CE-0082-4564-B344-9AC79C53806D}"/>
  </w:font>
  <w:font w:name="仿宋">
    <w:panose1 w:val="02010609060101010101"/>
    <w:charset w:val="86"/>
    <w:family w:val="modern"/>
    <w:pitch w:val="default"/>
    <w:sig w:usb0="800002BF" w:usb1="38CF7CFA" w:usb2="00000016" w:usb3="00000000" w:csb0="00040001" w:csb1="00000000"/>
    <w:embedRegular r:id="rId10" w:fontKey="{1E9A5B55-AFFD-4172-9B8D-428ADF51CAE6}"/>
  </w:font>
  <w:font w:name="WPSEMBED91">
    <w:panose1 w:val="03000509000000000000"/>
    <w:charset w:val="86"/>
    <w:family w:val="auto"/>
    <w:pitch w:val="default"/>
    <w:sig w:usb0="00000001" w:usb1="080E0000" w:usb2="00000000" w:usb3="00000000" w:csb0="00040000" w:csb1="00000000"/>
  </w:font>
  <w:font w:name="WPSEMBED92">
    <w:panose1 w:val="03000509000000000000"/>
    <w:charset w:val="86"/>
    <w:family w:val="auto"/>
    <w:pitch w:val="default"/>
    <w:sig w:usb0="00000001" w:usb1="080E0000" w:usb2="00000000" w:usb3="00000000" w:csb0="00040000" w:csb1="00000000"/>
  </w:font>
  <w:font w:name="WPSEMBED89">
    <w:panose1 w:val="02010609030101010101"/>
    <w:charset w:val="86"/>
    <w:family w:val="auto"/>
    <w:pitch w:val="default"/>
    <w:sig w:usb0="00000001" w:usb1="080E0000" w:usb2="00000000" w:usb3="00000000" w:csb0="00040000" w:csb1="00000000"/>
  </w:font>
  <w:font w:name="WPSEMBED93">
    <w:panose1 w:val="03000509000000000000"/>
    <w:charset w:val="86"/>
    <w:family w:val="auto"/>
    <w:pitch w:val="default"/>
    <w:sig w:usb0="00000001" w:usb1="080E0000" w:usb2="00000000" w:usb3="00000000" w:csb0="00040000" w:csb1="00000000"/>
  </w:font>
  <w:font w:name="WPSEMBED90">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9289B"/>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6323</Words>
  <Characters>6550</Characters>
  <Lines>101</Lines>
  <Paragraphs>28</Paragraphs>
  <TotalTime>0</TotalTime>
  <ScaleCrop>false</ScaleCrop>
  <LinksUpToDate>false</LinksUpToDate>
  <CharactersWithSpaces>6987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2026-07-24T06:12:06Z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