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31066"/>
      <w:bookmarkStart w:id="2" w:name="_Toc10059"/>
      <w:bookmarkStart w:id="3" w:name="_Toc76373863"/>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rPr>
      </w:pPr>
      <w:bookmarkStart w:id="7" w:name="_Toc22435"/>
      <w:bookmarkStart w:id="8" w:name="_Toc76373864"/>
      <w:bookmarkStart w:id="9" w:name="_Toc28264"/>
      <w:bookmarkStart w:id="10" w:name="_Toc15376"/>
      <w:bookmarkStart w:id="11" w:name="_Toc5909"/>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239EB9F">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眼科</w:t>
      </w:r>
      <w:r>
        <w:rPr>
          <w:rFonts w:hint="eastAsia" w:ascii="宋体" w:hAnsi="宋体" w:cs="宋体"/>
          <w:color w:val="auto"/>
          <w:sz w:val="24"/>
          <w:szCs w:val="24"/>
        </w:rPr>
        <w:t>义眼台</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青光眼引流阀/管、</w:t>
      </w:r>
      <w:r>
        <w:rPr>
          <w:rFonts w:hint="eastAsia" w:ascii="宋体" w:hAnsi="宋体" w:cs="宋体"/>
          <w:color w:val="auto"/>
          <w:sz w:val="24"/>
          <w:szCs w:val="24"/>
        </w:rPr>
        <w:t>泪道栓子/塞</w:t>
      </w:r>
      <w:r>
        <w:rPr>
          <w:rFonts w:hint="eastAsia" w:ascii="宋体" w:hAnsi="宋体" w:cs="宋体"/>
          <w:color w:val="auto"/>
          <w:sz w:val="24"/>
          <w:szCs w:val="24"/>
          <w:lang w:eastAsia="zh-CN"/>
        </w:rPr>
        <w:t>、</w:t>
      </w:r>
      <w:r>
        <w:rPr>
          <w:rFonts w:hint="eastAsia" w:ascii="宋体" w:hAnsi="宋体" w:cs="宋体"/>
          <w:color w:val="auto"/>
          <w:sz w:val="24"/>
          <w:szCs w:val="24"/>
        </w:rPr>
        <w:t>眼科激光光纤导管</w:t>
      </w:r>
      <w:r>
        <w:rPr>
          <w:rFonts w:hint="eastAsia" w:ascii="宋体" w:hAnsi="宋体" w:cs="宋体"/>
          <w:color w:val="auto"/>
          <w:sz w:val="24"/>
          <w:szCs w:val="24"/>
          <w:lang w:val="en-US" w:eastAsia="zh-CN"/>
        </w:rPr>
        <w:t>等耗材一批</w:t>
      </w:r>
    </w:p>
    <w:p w14:paraId="16CE4E12">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FFDC5AA">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397B9EA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14AFEB5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129"/>
            <w:bookmarkStart w:id="15" w:name="_Toc18060"/>
            <w:bookmarkStart w:id="16" w:name="_Toc76373865"/>
            <w:bookmarkStart w:id="17" w:name="_Toc22707"/>
            <w:bookmarkStart w:id="18" w:name="_Toc5838"/>
            <w:r>
              <w:rPr>
                <w:rFonts w:hint="eastAsia" w:ascii="宋体" w:hAnsi="宋体" w:eastAsia="宋体" w:cs="宋体"/>
                <w:color w:val="auto"/>
                <w:kern w:val="2"/>
                <w:szCs w:val="24"/>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3E0DAA6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0DBC1E8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D39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7857017A">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63087F06">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rPr>
              <w:t>义眼台</w:t>
            </w:r>
          </w:p>
        </w:tc>
        <w:tc>
          <w:tcPr>
            <w:tcW w:w="1485" w:type="dxa"/>
            <w:shd w:val="clear" w:color="auto" w:fill="auto"/>
            <w:noWrap w:val="0"/>
            <w:vAlign w:val="center"/>
          </w:tcPr>
          <w:p w14:paraId="3F6F098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41889599">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18DA0E21">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眼科</w:t>
            </w:r>
          </w:p>
        </w:tc>
      </w:tr>
      <w:tr w14:paraId="0C47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1DC8A773">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二</w:t>
            </w:r>
          </w:p>
        </w:tc>
        <w:tc>
          <w:tcPr>
            <w:tcW w:w="2298" w:type="dxa"/>
            <w:shd w:val="clear" w:color="auto" w:fill="auto"/>
            <w:noWrap w:val="0"/>
            <w:vAlign w:val="center"/>
          </w:tcPr>
          <w:p w14:paraId="57EA6623">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青光眼引流阀/管</w:t>
            </w:r>
          </w:p>
        </w:tc>
        <w:tc>
          <w:tcPr>
            <w:tcW w:w="1485" w:type="dxa"/>
            <w:shd w:val="clear" w:color="auto" w:fill="auto"/>
            <w:noWrap w:val="0"/>
            <w:vAlign w:val="center"/>
          </w:tcPr>
          <w:p w14:paraId="141C4D0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color="auto" w:fill="auto"/>
            <w:noWrap w:val="0"/>
            <w:vAlign w:val="center"/>
          </w:tcPr>
          <w:p w14:paraId="2B211EF7">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shd w:val="clear" w:color="auto" w:fill="auto"/>
            <w:noWrap w:val="0"/>
            <w:vAlign w:val="center"/>
          </w:tcPr>
          <w:p w14:paraId="5B2C576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眼科</w:t>
            </w:r>
          </w:p>
        </w:tc>
      </w:tr>
      <w:tr w14:paraId="67D5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3244CC0">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三</w:t>
            </w:r>
          </w:p>
        </w:tc>
        <w:tc>
          <w:tcPr>
            <w:tcW w:w="2298" w:type="dxa"/>
            <w:shd w:val="clear" w:color="auto" w:fill="auto"/>
            <w:noWrap w:val="0"/>
            <w:vAlign w:val="center"/>
          </w:tcPr>
          <w:p w14:paraId="3717EED2">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rPr>
              <w:t>泪道栓子/塞</w:t>
            </w:r>
          </w:p>
        </w:tc>
        <w:tc>
          <w:tcPr>
            <w:tcW w:w="1485" w:type="dxa"/>
            <w:shd w:val="clear" w:color="auto" w:fill="auto"/>
            <w:noWrap w:val="0"/>
            <w:vAlign w:val="center"/>
          </w:tcPr>
          <w:p w14:paraId="42AA53F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color="auto" w:fill="auto"/>
            <w:noWrap w:val="0"/>
            <w:vAlign w:val="center"/>
          </w:tcPr>
          <w:p w14:paraId="328198B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shd w:val="clear" w:color="auto" w:fill="auto"/>
            <w:noWrap w:val="0"/>
            <w:vAlign w:val="center"/>
          </w:tcPr>
          <w:p w14:paraId="38EC28C9">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眼科</w:t>
            </w:r>
          </w:p>
        </w:tc>
      </w:tr>
      <w:tr w14:paraId="69A44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297F6CA3">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四</w:t>
            </w:r>
          </w:p>
        </w:tc>
        <w:tc>
          <w:tcPr>
            <w:tcW w:w="2298" w:type="dxa"/>
            <w:shd w:val="clear" w:color="auto" w:fill="auto"/>
            <w:noWrap w:val="0"/>
            <w:vAlign w:val="center"/>
          </w:tcPr>
          <w:p w14:paraId="692D2E86">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rPr>
              <w:t>眼科激光光纤导管</w:t>
            </w:r>
          </w:p>
        </w:tc>
        <w:tc>
          <w:tcPr>
            <w:tcW w:w="1485" w:type="dxa"/>
            <w:shd w:val="clear" w:color="auto" w:fill="auto"/>
            <w:noWrap w:val="0"/>
            <w:vAlign w:val="center"/>
          </w:tcPr>
          <w:p w14:paraId="0F1CCAF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color="auto" w:fill="auto"/>
            <w:noWrap w:val="0"/>
            <w:vAlign w:val="center"/>
          </w:tcPr>
          <w:p w14:paraId="746E08D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shd w:val="clear" w:color="auto" w:fill="auto"/>
            <w:noWrap w:val="0"/>
            <w:vAlign w:val="center"/>
          </w:tcPr>
          <w:p w14:paraId="3ADECE3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眼科</w:t>
            </w: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338C06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7ED0E3B4">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686CB86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69A4D6D">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562DFA78">
      <w:pPr>
        <w:pStyle w:val="2"/>
        <w:rPr>
          <w:rFonts w:hint="eastAsia"/>
          <w:color w:val="auto"/>
        </w:rPr>
      </w:pPr>
      <w:bookmarkStart w:id="19" w:name="_Toc25496"/>
      <w:bookmarkStart w:id="20" w:name="_Toc76373866"/>
      <w:bookmarkStart w:id="21" w:name="_Toc26504"/>
      <w:bookmarkStart w:id="22" w:name="_Toc3434"/>
      <w:bookmarkStart w:id="23" w:name="_Toc30358"/>
      <w:bookmarkStart w:id="24" w:name="_Toc10137"/>
    </w:p>
    <w:p w14:paraId="20FC5D1D">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highlight w:val="yellow"/>
        </w:rPr>
      </w:pPr>
      <w:r>
        <w:rPr>
          <w:rFonts w:hint="eastAsia" w:ascii="宋体" w:hAnsi="宋体" w:cs="宋体"/>
          <w:bCs/>
          <w:color w:val="auto"/>
          <w:sz w:val="24"/>
          <w:highlight w:val="yellow"/>
          <w:lang w:val="en-US" w:eastAsia="zh-CN"/>
        </w:rPr>
        <w:t>竞选</w:t>
      </w:r>
      <w:r>
        <w:rPr>
          <w:rFonts w:hint="eastAsia" w:ascii="宋体" w:hAnsi="宋体" w:cs="宋体"/>
          <w:bCs/>
          <w:color w:val="auto"/>
          <w:sz w:val="24"/>
          <w:highlight w:val="yellow"/>
        </w:rPr>
        <w:t>人</w:t>
      </w:r>
      <w:r>
        <w:rPr>
          <w:rFonts w:hint="eastAsia" w:ascii="宋体" w:hAnsi="宋体" w:cs="宋体"/>
          <w:bCs/>
          <w:color w:val="auto"/>
          <w:sz w:val="24"/>
          <w:szCs w:val="24"/>
          <w:highlight w:val="yellow"/>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1.基本资格条件</w:t>
      </w:r>
    </w:p>
    <w:p w14:paraId="2E605471">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（1）具有独立承担民事责任的能力</w:t>
      </w:r>
    </w:p>
    <w:p w14:paraId="1C8E2365">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6）提供</w:t>
      </w:r>
      <w:r>
        <w:rPr>
          <w:rFonts w:hint="eastAsia" w:ascii="宋体" w:hAnsi="宋体" w:cs="宋体"/>
          <w:color w:val="auto"/>
          <w:sz w:val="24"/>
          <w:szCs w:val="24"/>
          <w:highlight w:val="yellow"/>
        </w:rPr>
        <w:t>《医药价格和招采信用评级等级承诺书》</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yellow"/>
        </w:rPr>
        <w:t>（</w:t>
      </w:r>
      <w:r>
        <w:rPr>
          <w:rFonts w:hint="eastAsia" w:ascii="宋体" w:hAnsi="宋体" w:cs="宋体"/>
          <w:color w:val="auto"/>
          <w:sz w:val="24"/>
          <w:szCs w:val="24"/>
          <w:highlight w:val="yellow"/>
          <w:lang w:val="en-US" w:eastAsia="zh-CN"/>
        </w:rPr>
        <w:t>7</w:t>
      </w:r>
      <w:r>
        <w:rPr>
          <w:rFonts w:hint="eastAsia" w:ascii="宋体" w:hAnsi="宋体" w:cs="宋体"/>
          <w:color w:val="auto"/>
          <w:sz w:val="24"/>
          <w:szCs w:val="24"/>
          <w:highlight w:val="yellow"/>
        </w:rPr>
        <w:t>）法律、行政法规规定的其他条件</w:t>
      </w:r>
      <w:r>
        <w:rPr>
          <w:rFonts w:hint="eastAsia" w:ascii="宋体" w:hAnsi="宋体" w:cs="宋体"/>
          <w:color w:val="auto"/>
          <w:sz w:val="24"/>
          <w:szCs w:val="24"/>
          <w:highlight w:val="yellow"/>
          <w:lang w:eastAsia="zh-CN"/>
        </w:rPr>
        <w:t>。</w:t>
      </w:r>
    </w:p>
    <w:p w14:paraId="240D182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2.特定资格条件</w:t>
      </w:r>
    </w:p>
    <w:p w14:paraId="476C4E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highlight w:val="yellow"/>
          <w:lang w:eastAsia="zh-CN"/>
        </w:rPr>
      </w:pPr>
      <w:r>
        <w:rPr>
          <w:rFonts w:hint="eastAsia" w:ascii="宋体" w:hAnsi="宋体" w:cs="宋体"/>
          <w:color w:val="auto"/>
          <w:sz w:val="24"/>
          <w:szCs w:val="24"/>
          <w:highlight w:val="yellow"/>
        </w:rPr>
        <w:t>（4）</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yellow"/>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（5）竞选单位法定代表人签发的授权委托书（须明确授权范围）及身份证明（加盖公章的复印件）。</w:t>
      </w:r>
    </w:p>
    <w:p w14:paraId="21F12D51">
      <w:pPr>
        <w:pStyle w:val="2"/>
        <w:rPr>
          <w:rFonts w:hint="eastAsia"/>
          <w:lang w:eastAsia="zh-CN"/>
        </w:rPr>
      </w:pPr>
    </w:p>
    <w:p w14:paraId="6B99929D">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7D38A4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highlight w:val="yellow"/>
          <w:lang w:val="en-US" w:eastAsia="zh-CN"/>
        </w:rPr>
      </w:pPr>
      <w:r>
        <w:rPr>
          <w:rFonts w:hint="eastAsia" w:ascii="宋体" w:hAnsi="宋体" w:cs="宋体"/>
          <w:color w:val="auto"/>
          <w:sz w:val="24"/>
          <w:szCs w:val="24"/>
          <w:highlight w:val="yellow"/>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yellow"/>
          <w:lang w:val="en-US" w:eastAsia="zh-CN"/>
        </w:rPr>
        <w:t>同一合同项</w:t>
      </w:r>
      <w:r>
        <w:rPr>
          <w:rFonts w:hint="eastAsia" w:ascii="宋体" w:hAnsi="宋体" w:cs="宋体"/>
          <w:color w:val="auto"/>
          <w:sz w:val="24"/>
          <w:szCs w:val="24"/>
          <w:highlight w:val="yellow"/>
        </w:rPr>
        <w:t>（分包）</w:t>
      </w:r>
      <w:r>
        <w:rPr>
          <w:rFonts w:hint="eastAsia" w:ascii="宋体" w:hAnsi="宋体" w:cs="宋体"/>
          <w:color w:val="auto"/>
          <w:sz w:val="24"/>
          <w:szCs w:val="24"/>
          <w:highlight w:val="yellow"/>
          <w:lang w:val="en-US" w:eastAsia="zh-CN"/>
        </w:rPr>
        <w:t>具体项目</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DCD69C7">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654"/>
      <w:bookmarkStart w:id="31" w:name="_Toc28099"/>
      <w:bookmarkStart w:id="32" w:name="_Toc7527"/>
      <w:bookmarkStart w:id="33" w:name="_Toc18799"/>
      <w:r>
        <w:rPr>
          <w:rFonts w:hint="eastAsia" w:ascii="宋体" w:hAnsi="宋体" w:cs="宋体"/>
          <w:b/>
          <w:bCs/>
          <w:color w:val="auto"/>
          <w:sz w:val="24"/>
          <w:szCs w:val="24"/>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2026年7月28日 17：00</w:t>
      </w:r>
    </w:p>
    <w:p w14:paraId="57BD5EB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eastAsia" w:cs="Times New Roman"/>
          <w:b w:val="0"/>
          <w:bCs/>
          <w:color w:val="auto"/>
          <w:kern w:val="0"/>
          <w:sz w:val="24"/>
          <w:szCs w:val="24"/>
          <w:u w:val="single"/>
          <w:lang w:val="en-US" w:eastAsia="zh-CN"/>
        </w:rPr>
        <w:t>1530733634</w:t>
      </w:r>
      <w:r>
        <w:rPr>
          <w:rFonts w:hint="default" w:ascii="Times New Roman" w:hAnsi="Times New Roman" w:cs="Times New Roman"/>
          <w:b w:val="0"/>
          <w:bCs/>
          <w:color w:val="auto"/>
          <w:kern w:val="0"/>
          <w:sz w:val="24"/>
          <w:szCs w:val="24"/>
          <w:u w:val="single"/>
        </w:rPr>
        <w:t>@qq.com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眼科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眼科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眼科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10F9BF3">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眼科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yellow"/>
          <w:lang w:val="en-US" w:eastAsia="zh-CN"/>
        </w:rPr>
        <w:t>制作竞选文件时，“</w:t>
      </w:r>
      <w:r>
        <w:rPr>
          <w:rFonts w:hint="eastAsia" w:ascii="宋体" w:hAnsi="宋体" w:eastAsia="宋体" w:cs="宋体"/>
          <w:color w:val="auto"/>
          <w:sz w:val="24"/>
          <w:szCs w:val="24"/>
          <w:highlight w:val="yellow"/>
        </w:rPr>
        <w:t>开标现场最终报价表</w:t>
      </w:r>
      <w:r>
        <w:rPr>
          <w:rFonts w:hint="eastAsia" w:ascii="宋体" w:hAnsi="宋体" w:eastAsia="宋体" w:cs="宋体"/>
          <w:color w:val="auto"/>
          <w:sz w:val="24"/>
          <w:szCs w:val="24"/>
          <w:highlight w:val="yellow"/>
          <w:lang w:val="en-US" w:eastAsia="zh-CN"/>
        </w:rPr>
        <w:t>”</w:t>
      </w:r>
      <w:r>
        <w:rPr>
          <w:rFonts w:hint="default" w:ascii="宋体" w:hAnsi="宋体" w:eastAsia="宋体" w:cs="宋体"/>
          <w:color w:val="auto"/>
          <w:sz w:val="24"/>
          <w:szCs w:val="24"/>
          <w:highlight w:val="yellow"/>
          <w:lang w:val="en-US" w:eastAsia="zh-CN"/>
        </w:rPr>
        <w:t>须</w:t>
      </w:r>
      <w:bookmarkStart w:id="37" w:name="OLE_LINK4"/>
      <w:r>
        <w:rPr>
          <w:rFonts w:hint="default" w:ascii="宋体" w:hAnsi="宋体" w:eastAsia="宋体" w:cs="宋体"/>
          <w:color w:val="auto"/>
          <w:sz w:val="24"/>
          <w:szCs w:val="24"/>
          <w:highlight w:val="yellow"/>
        </w:rPr>
        <w:t>与报名时提交的“耗材报名表”的中载明的产品信息（含产品注册证名称、规格型号、顺序等）保持一致</w:t>
      </w:r>
      <w:bookmarkEnd w:id="37"/>
      <w:r>
        <w:rPr>
          <w:rFonts w:hint="eastAsia" w:ascii="宋体" w:hAnsi="宋体" w:eastAsia="宋体" w:cs="宋体"/>
          <w:color w:val="auto"/>
          <w:sz w:val="24"/>
          <w:szCs w:val="24"/>
          <w:highlight w:val="yellow"/>
          <w:lang w:eastAsia="zh-CN"/>
        </w:rPr>
        <w:t>。</w:t>
      </w:r>
      <w:r>
        <w:rPr>
          <w:rFonts w:hint="default" w:ascii="宋体" w:hAnsi="宋体" w:eastAsia="宋体" w:cs="宋体"/>
          <w:color w:val="auto"/>
          <w:sz w:val="24"/>
          <w:szCs w:val="24"/>
          <w:highlight w:val="yellow"/>
        </w:rPr>
        <w:t>“耗材报名表”填写时不得改变文档格式，所有标红项为必填项，若没有相关情况则写“无”</w:t>
      </w:r>
      <w:r>
        <w:rPr>
          <w:rFonts w:hint="eastAsia" w:ascii="宋体" w:hAnsi="宋体" w:eastAsia="宋体" w:cs="宋体"/>
          <w:color w:val="auto"/>
          <w:sz w:val="24"/>
          <w:szCs w:val="24"/>
          <w:highlight w:val="yellow"/>
          <w:lang w:eastAsia="zh-CN"/>
        </w:rPr>
        <w:t>。</w:t>
      </w:r>
    </w:p>
    <w:p w14:paraId="4D2178DB">
      <w:pPr>
        <w:widowControl/>
        <w:spacing w:line="400" w:lineRule="exact"/>
        <w:outlineLvl w:val="1"/>
        <w:rPr>
          <w:rFonts w:hint="eastAsia" w:ascii="宋体" w:hAnsi="宋体" w:cs="宋体"/>
          <w:b/>
          <w:color w:val="auto"/>
          <w:sz w:val="24"/>
        </w:rPr>
      </w:pPr>
      <w:bookmarkStart w:id="38" w:name="_Toc768"/>
      <w:bookmarkStart w:id="39" w:name="_Toc18950"/>
      <w:r>
        <w:rPr>
          <w:rFonts w:hint="eastAsia" w:ascii="宋体" w:hAnsi="宋体" w:cs="宋体"/>
          <w:b/>
          <w:color w:val="auto"/>
          <w:sz w:val="24"/>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6B33AFBA">
      <w:pPr>
        <w:pStyle w:val="52"/>
        <w:spacing w:before="0" w:beforeAutospacing="0" w:after="0" w:afterAutospacing="0" w:line="400" w:lineRule="exact"/>
        <w:ind w:firstLine="480" w:firstLineChars="200"/>
        <w:jc w:val="both"/>
        <w:rPr>
          <w:rFonts w:hint="default" w:ascii="宋体" w:hAnsi="宋体" w:eastAsia="宋体" w:cs="宋体"/>
          <w:color w:val="auto"/>
          <w:szCs w:val="24"/>
          <w:lang w:val="en-US" w:eastAsia="zh-CN"/>
        </w:rPr>
      </w:pPr>
      <w:r>
        <w:rPr>
          <w:rFonts w:hint="eastAsia" w:ascii="宋体" w:hAnsi="宋体" w:eastAsia="宋体" w:cs="宋体"/>
          <w:color w:val="auto"/>
          <w:szCs w:val="24"/>
        </w:rPr>
        <w:t>2.</w:t>
      </w:r>
      <w:r>
        <w:rPr>
          <w:rFonts w:hint="eastAsia" w:ascii="宋体" w:hAnsi="宋体" w:eastAsia="宋体" w:cs="宋体"/>
          <w:color w:val="auto"/>
          <w:szCs w:val="24"/>
          <w:lang w:val="en-US" w:eastAsia="zh-CN"/>
        </w:rPr>
        <w:t>预计</w:t>
      </w:r>
      <w:r>
        <w:rPr>
          <w:rFonts w:hint="eastAsia" w:ascii="宋体" w:hAnsi="宋体" w:eastAsia="宋体" w:cs="宋体"/>
          <w:color w:val="auto"/>
          <w:szCs w:val="24"/>
        </w:rPr>
        <w:t xml:space="preserve">采购谈判时间： </w:t>
      </w:r>
      <w:r>
        <w:rPr>
          <w:rFonts w:hint="eastAsia" w:ascii="宋体" w:hAnsi="宋体" w:eastAsia="宋体" w:cs="宋体"/>
          <w:color w:val="auto"/>
          <w:szCs w:val="24"/>
          <w:shd w:val="clear" w:color="auto" w:fill="FFFFFF"/>
          <w:lang w:val="en-US" w:eastAsia="zh-CN"/>
        </w:rPr>
        <w:t>2026年7月29-28日（具体时间电话另行通知）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rPr>
      </w:pPr>
      <w:bookmarkStart w:id="40" w:name="_Toc829"/>
      <w:r>
        <w:rPr>
          <w:rFonts w:hint="eastAsia" w:ascii="宋体" w:hAnsi="宋体" w:cs="宋体"/>
          <w:b/>
          <w:color w:val="auto"/>
          <w:sz w:val="24"/>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邓</w:t>
      </w:r>
      <w:r>
        <w:rPr>
          <w:rFonts w:hint="eastAsia" w:ascii="宋体" w:hAnsi="宋体" w:eastAsia="宋体" w:cs="宋体"/>
          <w:color w:val="auto"/>
          <w:szCs w:val="24"/>
        </w:rPr>
        <w:t>老师</w:t>
      </w:r>
    </w:p>
    <w:p w14:paraId="21DE014C">
      <w:pPr>
        <w:widowControl/>
        <w:spacing w:line="400" w:lineRule="exact"/>
        <w:ind w:firstLine="480" w:firstLineChars="200"/>
        <w:rPr>
          <w:rFonts w:hint="default" w:ascii="宋体" w:hAnsi="宋体" w:eastAsia="宋体" w:cs="宋体"/>
          <w:color w:val="auto"/>
          <w:sz w:val="24"/>
          <w:szCs w:val="24"/>
          <w:lang w:val="en-US" w:eastAsia="zh-CN"/>
        </w:rPr>
      </w:pPr>
      <w:bookmarkStart w:id="41" w:name="_Toc869"/>
      <w:r>
        <w:rPr>
          <w:rFonts w:hint="eastAsia" w:ascii="宋体" w:hAnsi="宋体" w:cs="宋体"/>
          <w:color w:val="auto"/>
          <w:sz w:val="24"/>
          <w:szCs w:val="24"/>
        </w:rPr>
        <w:t>项目联系人电话：</w:t>
      </w:r>
      <w:bookmarkEnd w:id="41"/>
      <w:r>
        <w:rPr>
          <w:rFonts w:hint="eastAsia" w:ascii="宋体" w:hAnsi="宋体" w:cs="宋体"/>
          <w:color w:val="auto"/>
          <w:sz w:val="24"/>
          <w:szCs w:val="24"/>
          <w:lang w:val="en-US" w:eastAsia="zh-CN"/>
        </w:rPr>
        <w:t>023-63693385</w:t>
      </w:r>
      <w:bookmarkStart w:id="195" w:name="_GoBack"/>
      <w:bookmarkEnd w:id="195"/>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2" w:name="_Toc25272"/>
      <w:bookmarkStart w:id="43" w:name="_Toc14224"/>
      <w:bookmarkStart w:id="44" w:name="_Toc4033"/>
      <w:bookmarkStart w:id="45" w:name="_Toc76373872"/>
      <w:bookmarkStart w:id="46" w:name="_Toc9714"/>
      <w:bookmarkStart w:id="47" w:name="_Toc20138"/>
      <w:bookmarkStart w:id="48" w:name="_Toc21905"/>
      <w:r>
        <w:rPr>
          <w:rFonts w:hint="eastAsia" w:ascii="宋体" w:hAnsi="宋体" w:cs="宋体"/>
          <w:b/>
          <w:color w:val="auto"/>
          <w:szCs w:val="36"/>
        </w:rPr>
        <w:t xml:space="preserve">第二篇 </w:t>
      </w:r>
      <w:bookmarkEnd w:id="42"/>
      <w:bookmarkEnd w:id="43"/>
      <w:bookmarkEnd w:id="44"/>
      <w:bookmarkEnd w:id="45"/>
      <w:bookmarkEnd w:id="46"/>
      <w:r>
        <w:rPr>
          <w:rFonts w:hint="eastAsia" w:ascii="宋体" w:hAnsi="宋体" w:cs="宋体"/>
          <w:b/>
          <w:color w:val="auto"/>
          <w:szCs w:val="36"/>
        </w:rPr>
        <w:t>技术（质量）与商务需求</w:t>
      </w:r>
      <w:bookmarkEnd w:id="47"/>
      <w:bookmarkEnd w:id="48"/>
    </w:p>
    <w:p w14:paraId="26427D13">
      <w:pPr>
        <w:widowControl/>
        <w:spacing w:before="120" w:beforeLines="50" w:line="360" w:lineRule="exact"/>
        <w:outlineLvl w:val="1"/>
        <w:rPr>
          <w:rFonts w:hint="default"/>
          <w:lang w:val="en-US" w:eastAsia="zh-CN"/>
        </w:rPr>
      </w:pPr>
      <w:bookmarkStart w:id="49" w:name="_Toc32286"/>
      <w:r>
        <w:rPr>
          <w:rFonts w:hint="eastAsia" w:cs="宋体"/>
          <w:b/>
          <w:color w:val="auto"/>
          <w:sz w:val="24"/>
        </w:rPr>
        <w:t>一、</w:t>
      </w:r>
      <w:bookmarkStart w:id="50" w:name="_Toc11474"/>
      <w:bookmarkStart w:id="51" w:name="_Toc2599"/>
      <w:bookmarkStart w:id="52" w:name="_Toc3153"/>
      <w:bookmarkStart w:id="53" w:name="_Toc13391"/>
      <w:bookmarkStart w:id="54" w:name="_Toc76373874"/>
      <w:bookmarkStart w:id="55" w:name="_Toc27187"/>
      <w:bookmarkStart w:id="56" w:name="_Toc25148"/>
      <w:r>
        <w:rPr>
          <w:rFonts w:hint="eastAsia" w:cs="宋体"/>
          <w:b/>
          <w:color w:val="auto"/>
          <w:sz w:val="24"/>
        </w:rPr>
        <w:t>技术需求</w:t>
      </w:r>
      <w:bookmarkEnd w:id="50"/>
      <w:bookmarkEnd w:id="51"/>
      <w:bookmarkEnd w:id="52"/>
      <w:bookmarkEnd w:id="53"/>
      <w:bookmarkEnd w:id="54"/>
      <w:r>
        <w:rPr>
          <w:rFonts w:hint="eastAsia" w:cs="宋体"/>
          <w:b/>
          <w:color w:val="auto"/>
          <w:sz w:val="24"/>
        </w:rPr>
        <w:t>（含技术参数）</w:t>
      </w:r>
      <w:bookmarkEnd w:id="49"/>
      <w:bookmarkEnd w:id="55"/>
      <w:bookmarkEnd w:id="56"/>
      <w:bookmarkStart w:id="57" w:name="_Toc29620"/>
      <w:bookmarkStart w:id="58" w:name="_Toc6355"/>
      <w:bookmarkStart w:id="59" w:name="_Toc76373876"/>
      <w:bookmarkStart w:id="60" w:name="_Toc30465"/>
      <w:bookmarkStart w:id="61" w:name="_Toc29225"/>
      <w:bookmarkStart w:id="62" w:name="_Toc13107"/>
      <w:bookmarkStart w:id="63" w:name="_Toc1955"/>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1义眼台</w:t>
      </w:r>
    </w:p>
    <w:p w14:paraId="0D5BF880">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1、用于眼球摘除、眼内容物剜除或眼外伤术后眼眶容积缺损的填充，以支撑眼部软组织、安装义眼片，恢复面部美观。</w:t>
      </w:r>
    </w:p>
    <w:p w14:paraId="39CCEF73">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2、材料成分：羟基磷灰石，或高密度多孔聚乙烯，或生物陶瓷，或医用多孔钛合金。</w:t>
      </w:r>
    </w:p>
    <w:p w14:paraId="20D0A179">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产品须为相互贯通的多孔结构，孔径≥80um，孔隙率≥45%。提供多种形状，如块、片、球形等，可接受预制形状。尺寸覆盖14- 24mm，主流规格含14、18、22等。产品设置可供眼外直肌缝合固定的结构，可采用预置缝合孔、环形 / 弧形缝合凹槽、表面多孔附着区等任意一种形式。</w:t>
      </w:r>
    </w:p>
    <w:p w14:paraId="5D3D4CBD">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4、产品必须以无菌状态提供，且产品必须无热源，细菌内毒素含量应＜0.5EU/mL。</w:t>
      </w:r>
    </w:p>
    <w:p w14:paraId="617D8240">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2青光眼引流阀/管</w:t>
      </w:r>
    </w:p>
    <w:p w14:paraId="155F7EB1">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1、灭菌方式：环氧乙烷灭菌，无菌无热原</w:t>
      </w:r>
    </w:p>
    <w:p w14:paraId="166F4071">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2、合规属性：符合眼科植入医疗器械生物安全、无菌、相容性相关国家标准，可用于人体眼内植入手术</w:t>
      </w:r>
    </w:p>
    <w:p w14:paraId="55A6E6CA">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3、核心引流主体材质：医用级生物相容材质，无致敏、无腐蚀、无异物反应，植入后组织贴合性良好</w:t>
      </w:r>
    </w:p>
    <w:p w14:paraId="6B7443B4">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4、整体为一体化集成结构，结构精简，适配眼内微小切口植入，术中操作便捷。</w:t>
      </w:r>
    </w:p>
    <w:p w14:paraId="655D856E">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5、具备精准房水限流功能，可生理性疏导房水，有效控制术后眼压，规避低眼压、浅前房等并发症</w:t>
      </w:r>
    </w:p>
    <w:p w14:paraId="043AC477">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6、适用于药物、常规手术控制不佳的原发性开角型青光眼、难治性青光眼、继发性青光眼等</w:t>
      </w:r>
    </w:p>
    <w:p w14:paraId="26FDF46A">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3泪道栓子/塞</w:t>
      </w:r>
    </w:p>
    <w:p w14:paraId="3C3608FC">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1、产品类型：一次性无菌眼科泪道封堵耗材，用于干眼症泪小点闭塞治疗。</w:t>
      </w:r>
    </w:p>
    <w:p w14:paraId="0C6972E4">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2、结构形态：分为有孔或/和无孔；长度 2.0–3.0mm。</w:t>
      </w:r>
    </w:p>
    <w:p w14:paraId="60F9CAB9">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3、生物安全：无菌 EO 灭菌，生物相容无黏膜刺激，重金属析出≤5ppm，灭菌有效期3年。</w:t>
      </w:r>
    </w:p>
    <w:p w14:paraId="6C2DD1BC">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4、临床性能：植入泪小管内无外露，贴合管壁不易脱落，完整阻断泪液引流。</w:t>
      </w:r>
    </w:p>
    <w:p w14:paraId="20D06F3F">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5、使用规范：一次性使用，独立无菌包装，常温避光储存；符合 YY/T 0984-2016 泪道塞行业标准。</w:t>
      </w:r>
    </w:p>
    <w:p w14:paraId="4B5A4DDD">
      <w:pPr>
        <w:pStyle w:val="3"/>
        <w:rPr>
          <w:rFonts w:hint="eastAsia"/>
          <w:lang w:val="en-US" w:eastAsia="zh-CN"/>
        </w:rPr>
      </w:pPr>
    </w:p>
    <w:p w14:paraId="563FF96D">
      <w:pPr>
        <w:spacing w:line="320" w:lineRule="exact"/>
        <w:ind w:left="479" w:leftChars="85" w:hanging="241" w:hangingChars="100"/>
        <w:jc w:val="left"/>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包4</w:t>
      </w:r>
      <w:r>
        <w:rPr>
          <w:rFonts w:hint="default" w:ascii="宋体" w:hAnsi="宋体" w:cs="宋体"/>
          <w:b/>
          <w:bCs/>
          <w:color w:val="auto"/>
          <w:sz w:val="24"/>
          <w:szCs w:val="24"/>
          <w:lang w:val="en-US" w:eastAsia="zh-CN"/>
        </w:rPr>
        <w:t>眼科激光光纤导管</w:t>
      </w:r>
    </w:p>
    <w:p w14:paraId="10B27BB4">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1、适用于原发性开角型青光眼、青少年型开角型青光眼、先天性/发育性青光眼等眼科青光眼微创手术治疗。</w:t>
      </w:r>
    </w:p>
    <w:p w14:paraId="2CEDF8AD">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2、产品为青光眼激光手术专用光纤导管组件，包含激光传输及术中灌注功能相关配套结构。</w:t>
      </w:r>
    </w:p>
    <w:p w14:paraId="522D18F5">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3、产品无菌独立包装，无热源，具备合格生物相容性，对眼部组织安全性良好，可适用于儿童及成人眼部手术。</w:t>
      </w:r>
    </w:p>
    <w:p w14:paraId="4AC47A09">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4、产品配备标准光源连接结构，可兼容市面主流眼科激光设备；连接稳固、插拔顺畅，手术过程无松动，可保障激光能量传输稳定、输出均匀。</w:t>
      </w:r>
    </w:p>
    <w:p w14:paraId="331F9735">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5、配备标准国际鲁尔连接结构，可适配主流眼科术中推注器械，连接紧密、不易渗漏，可满足术中同步灌注需求。</w:t>
      </w:r>
    </w:p>
    <w:p w14:paraId="6A37ED33">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6、光导纤维传输效率高，输出光斑均匀稳定；可提供多种光纤核心直径规格选择，满足不同手术临床需求。</w:t>
      </w:r>
    </w:p>
    <w:p w14:paraId="259A0236">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7、导管外径≤23G（0.65mm），整体柔韧性良好，头部可弯曲，耐弯折、不易断裂；导管带有显影标识，便于术中定位；灌注管路液流平稳、连续，可有效维持术中眼压稳定。</w:t>
      </w:r>
    </w:p>
    <w:p w14:paraId="02FFE215">
      <w:pPr>
        <w:pStyle w:val="2"/>
        <w:rPr>
          <w:rFonts w:hint="default"/>
          <w:lang w:val="en-US" w:eastAsia="zh-CN"/>
        </w:rPr>
      </w:pPr>
    </w:p>
    <w:p w14:paraId="5533BE98">
      <w:pPr>
        <w:pStyle w:val="2"/>
        <w:ind w:firstLine="480" w:firstLineChars="200"/>
        <w:rPr>
          <w:rFonts w:hint="default" w:ascii="微软雅黑" w:hAnsi="微软雅黑" w:eastAsia="微软雅黑" w:cs="微软雅黑"/>
          <w:kern w:val="2"/>
          <w:sz w:val="24"/>
          <w:szCs w:val="24"/>
          <w:highlight w:val="yellow"/>
          <w:lang w:val="en-US" w:eastAsia="zh-CN" w:bidi="ar-SA"/>
        </w:rPr>
      </w:pPr>
      <w:r>
        <w:rPr>
          <w:rFonts w:hint="eastAsia" w:ascii="微软雅黑" w:hAnsi="微软雅黑" w:eastAsia="微软雅黑" w:cs="微软雅黑"/>
          <w:kern w:val="2"/>
          <w:sz w:val="24"/>
          <w:szCs w:val="24"/>
          <w:highlight w:val="yellow"/>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0EEA4C4E">
      <w:pPr>
        <w:spacing w:line="400" w:lineRule="exact"/>
        <w:outlineLvl w:val="1"/>
        <w:rPr>
          <w:rFonts w:hint="default" w:ascii="Times New Roman" w:hAnsi="Times New Roman" w:cs="Times New Roman"/>
          <w:b/>
          <w:color w:val="auto"/>
          <w:sz w:val="24"/>
        </w:rPr>
      </w:pPr>
      <w:bookmarkStart w:id="64" w:name="_Toc6540"/>
      <w:r>
        <w:rPr>
          <w:rFonts w:hint="default" w:ascii="Times New Roman" w:hAnsi="Times New Roman" w:cs="Times New Roman"/>
          <w:b/>
          <w:color w:val="auto"/>
          <w:sz w:val="24"/>
        </w:rPr>
        <w:t>二、</w:t>
      </w:r>
      <w:bookmarkEnd w:id="57"/>
      <w:bookmarkEnd w:id="58"/>
      <w:bookmarkEnd w:id="59"/>
      <w:bookmarkEnd w:id="60"/>
      <w:bookmarkEnd w:id="61"/>
      <w:r>
        <w:rPr>
          <w:rFonts w:hint="default" w:ascii="Times New Roman" w:hAnsi="Times New Roman" w:cs="Times New Roman"/>
          <w:b/>
          <w:color w:val="auto"/>
          <w:sz w:val="24"/>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5" w:name="_Toc1768"/>
      <w:bookmarkStart w:id="66" w:name="_Toc15650"/>
      <w:bookmarkStart w:id="67" w:name="_Toc7794"/>
      <w:bookmarkStart w:id="68" w:name="_Toc4791"/>
      <w:bookmarkStart w:id="69" w:name="_Toc2072"/>
      <w:bookmarkStart w:id="70" w:name="_Toc17944"/>
      <w:bookmarkStart w:id="71" w:name="_Toc76373878"/>
      <w:bookmarkStart w:id="72" w:name="_Toc31843"/>
      <w:bookmarkStart w:id="73" w:name="_Toc17524"/>
      <w:bookmarkStart w:id="74" w:name="_Toc24122"/>
      <w:bookmarkStart w:id="75"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672FAB6F">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6" w:name="_Toc29836"/>
      <w:bookmarkStart w:id="77" w:name="_Toc14311"/>
      <w:bookmarkStart w:id="78" w:name="_Toc22561"/>
      <w:bookmarkStart w:id="79" w:name="_Toc76373879"/>
      <w:bookmarkStart w:id="80" w:name="_Toc30551"/>
      <w:bookmarkStart w:id="81" w:name="_Toc9339"/>
      <w:bookmarkStart w:id="82" w:name="_Toc5959"/>
      <w:bookmarkStart w:id="83" w:name="_Toc13528"/>
      <w:bookmarkStart w:id="84" w:name="_Toc28942"/>
      <w:bookmarkStart w:id="85"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6" w:name="_Toc76373885"/>
      <w:bookmarkStart w:id="87" w:name="_Toc27737"/>
      <w:bookmarkStart w:id="88" w:name="_Toc20263"/>
      <w:bookmarkStart w:id="89" w:name="_Toc27893"/>
      <w:bookmarkStart w:id="90" w:name="_Toc12384"/>
      <w:bookmarkStart w:id="91" w:name="_Toc2258"/>
      <w:bookmarkStart w:id="92" w:name="_Toc20772"/>
      <w:r>
        <w:rPr>
          <w:rFonts w:hint="eastAsia" w:ascii="宋体" w:hAnsi="宋体" w:cs="宋体"/>
          <w:b/>
          <w:color w:val="auto"/>
          <w:szCs w:val="36"/>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rPr>
      </w:pPr>
      <w:bookmarkStart w:id="93" w:name="_Toc23699"/>
      <w:bookmarkStart w:id="94" w:name="_Toc7115"/>
      <w:bookmarkStart w:id="95" w:name="_Toc11052"/>
      <w:bookmarkStart w:id="96" w:name="_Toc28189"/>
      <w:bookmarkStart w:id="97" w:name="_Toc12712"/>
      <w:bookmarkStart w:id="98" w:name="_Toc76373886"/>
    </w:p>
    <w:p w14:paraId="619E6A6D">
      <w:pPr>
        <w:spacing w:line="400" w:lineRule="exact"/>
        <w:outlineLvl w:val="1"/>
        <w:rPr>
          <w:rFonts w:hint="eastAsia" w:cs="宋体"/>
          <w:b/>
          <w:color w:val="auto"/>
          <w:sz w:val="24"/>
        </w:rPr>
      </w:pPr>
      <w:bookmarkStart w:id="99" w:name="_Toc4818"/>
      <w:r>
        <w:rPr>
          <w:rFonts w:hint="eastAsia" w:cs="宋体"/>
          <w:b/>
          <w:color w:val="auto"/>
          <w:sz w:val="24"/>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highlight w:val="yellow"/>
        </w:rPr>
      </w:pPr>
      <w:r>
        <w:rPr>
          <w:rFonts w:hint="eastAsia" w:ascii="宋体" w:hAnsi="宋体" w:cs="宋体"/>
          <w:color w:val="auto"/>
          <w:kern w:val="0"/>
          <w:sz w:val="24"/>
          <w:szCs w:val="24"/>
          <w:highlight w:val="yellow"/>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highlight w:val="yellow"/>
        </w:rPr>
      </w:pPr>
    </w:p>
    <w:p w14:paraId="4D7FB686">
      <w:pPr>
        <w:spacing w:line="400" w:lineRule="exact"/>
        <w:outlineLvl w:val="1"/>
        <w:rPr>
          <w:rFonts w:hint="eastAsia" w:cs="宋体"/>
          <w:b/>
          <w:color w:val="auto"/>
          <w:sz w:val="24"/>
          <w:highlight w:val="yellow"/>
        </w:rPr>
      </w:pPr>
      <w:bookmarkStart w:id="100" w:name="_Toc19809"/>
      <w:bookmarkStart w:id="101" w:name="_Toc76373887"/>
      <w:bookmarkStart w:id="102" w:name="_Toc13585"/>
      <w:bookmarkStart w:id="103" w:name="_Toc26754"/>
      <w:bookmarkStart w:id="104" w:name="_Toc9147"/>
      <w:bookmarkStart w:id="105" w:name="_Toc31293"/>
      <w:bookmarkStart w:id="106" w:name="_Toc5535"/>
      <w:r>
        <w:rPr>
          <w:rFonts w:hint="eastAsia" w:cs="宋体"/>
          <w:b/>
          <w:color w:val="auto"/>
          <w:sz w:val="24"/>
          <w:highlight w:val="yellow"/>
        </w:rPr>
        <w:t>二、</w:t>
      </w:r>
      <w:r>
        <w:rPr>
          <w:rFonts w:hint="eastAsia" w:cs="宋体"/>
          <w:b/>
          <w:color w:val="auto"/>
          <w:sz w:val="24"/>
          <w:highlight w:val="yellow"/>
          <w:lang w:val="en-US" w:eastAsia="zh-CN"/>
        </w:rPr>
        <w:t>遴选</w:t>
      </w:r>
      <w:r>
        <w:rPr>
          <w:rFonts w:hint="eastAsia" w:cs="宋体"/>
          <w:b/>
          <w:color w:val="auto"/>
          <w:sz w:val="24"/>
          <w:highlight w:val="yellow"/>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yellow"/>
          <w:lang w:val="en-US" w:eastAsia="zh-CN"/>
        </w:rPr>
        <w:t>1</w:t>
      </w:r>
      <w:r>
        <w:rPr>
          <w:rFonts w:hint="eastAsia" w:ascii="宋体" w:hAnsi="宋体" w:cs="宋体"/>
          <w:color w:val="auto"/>
          <w:kern w:val="0"/>
          <w:sz w:val="24"/>
          <w:szCs w:val="24"/>
          <w:highlight w:val="yellow"/>
          <w:lang w:val="en-US" w:eastAsia="zh-CN"/>
        </w:rPr>
        <w:t>.</w:t>
      </w:r>
      <w:r>
        <w:rPr>
          <w:rFonts w:hint="eastAsia" w:ascii="宋体" w:hAnsi="宋体" w:eastAsia="宋体" w:cs="宋体"/>
          <w:color w:val="auto"/>
          <w:kern w:val="0"/>
          <w:sz w:val="24"/>
          <w:szCs w:val="24"/>
          <w:highlight w:val="yellow"/>
        </w:rPr>
        <w:t>按</w:t>
      </w:r>
      <w:r>
        <w:rPr>
          <w:rFonts w:hint="eastAsia" w:ascii="宋体" w:hAnsi="宋体" w:eastAsia="宋体" w:cs="宋体"/>
          <w:color w:val="auto"/>
          <w:kern w:val="0"/>
          <w:sz w:val="24"/>
          <w:szCs w:val="24"/>
          <w:highlight w:val="yellow"/>
          <w:lang w:eastAsia="zh-CN"/>
        </w:rPr>
        <w:t>遴选</w:t>
      </w:r>
      <w:r>
        <w:rPr>
          <w:rFonts w:hint="eastAsia" w:ascii="宋体" w:hAnsi="宋体" w:eastAsia="宋体" w:cs="宋体"/>
          <w:b w:val="0"/>
          <w:bCs w:val="0"/>
          <w:color w:val="auto"/>
          <w:kern w:val="0"/>
          <w:sz w:val="24"/>
          <w:szCs w:val="24"/>
          <w:highlight w:val="yellow"/>
        </w:rPr>
        <w:t>采购文件中规定</w:t>
      </w:r>
      <w:r>
        <w:rPr>
          <w:rFonts w:hint="eastAsia" w:ascii="宋体" w:hAnsi="宋体" w:eastAsia="宋体" w:cs="宋体"/>
          <w:b w:val="0"/>
          <w:bCs w:val="0"/>
          <w:color w:val="auto"/>
          <w:kern w:val="0"/>
          <w:sz w:val="24"/>
          <w:szCs w:val="24"/>
          <w:highlight w:val="yellow"/>
          <w:lang w:eastAsia="zh-CN"/>
        </w:rPr>
        <w:t>，</w:t>
      </w:r>
      <w:r>
        <w:rPr>
          <w:rFonts w:hint="eastAsia" w:ascii="宋体" w:hAnsi="宋体" w:eastAsia="宋体" w:cs="宋体"/>
          <w:b w:val="0"/>
          <w:bCs w:val="0"/>
          <w:color w:val="auto"/>
          <w:kern w:val="0"/>
          <w:sz w:val="24"/>
          <w:szCs w:val="24"/>
          <w:highlight w:val="yellow"/>
        </w:rPr>
        <w:t>对资格审查</w:t>
      </w:r>
      <w:r>
        <w:rPr>
          <w:rFonts w:hint="eastAsia" w:ascii="宋体" w:hAnsi="宋体" w:eastAsia="宋体" w:cs="宋体"/>
          <w:color w:val="auto"/>
          <w:kern w:val="0"/>
          <w:sz w:val="24"/>
          <w:szCs w:val="24"/>
          <w:highlight w:val="yellow"/>
        </w:rPr>
        <w:t>合格的响应文件进行技术评估。提供相同品牌产品且通过资格审查的不同</w:t>
      </w:r>
      <w:r>
        <w:rPr>
          <w:rFonts w:hint="eastAsia" w:ascii="宋体" w:hAnsi="宋体" w:eastAsia="宋体" w:cs="宋体"/>
          <w:color w:val="auto"/>
          <w:kern w:val="0"/>
          <w:sz w:val="24"/>
          <w:szCs w:val="24"/>
          <w:highlight w:val="yellow"/>
          <w:lang w:eastAsia="zh-CN"/>
        </w:rPr>
        <w:t>竞选</w:t>
      </w:r>
      <w:r>
        <w:rPr>
          <w:rFonts w:hint="eastAsia" w:ascii="宋体" w:hAnsi="宋体" w:eastAsia="宋体" w:cs="宋体"/>
          <w:color w:val="auto"/>
          <w:kern w:val="0"/>
          <w:sz w:val="24"/>
          <w:szCs w:val="24"/>
          <w:highlight w:val="yellow"/>
        </w:rPr>
        <w:t>人参加的，按一家</w:t>
      </w:r>
      <w:r>
        <w:rPr>
          <w:rFonts w:hint="eastAsia" w:ascii="宋体" w:hAnsi="宋体" w:eastAsia="宋体" w:cs="宋体"/>
          <w:color w:val="auto"/>
          <w:kern w:val="0"/>
          <w:sz w:val="24"/>
          <w:szCs w:val="24"/>
          <w:highlight w:val="yellow"/>
          <w:lang w:val="en-US" w:eastAsia="zh-CN"/>
        </w:rPr>
        <w:t>竞选</w:t>
      </w:r>
      <w:r>
        <w:rPr>
          <w:rFonts w:hint="eastAsia" w:ascii="宋体" w:hAnsi="宋体" w:eastAsia="宋体" w:cs="宋体"/>
          <w:color w:val="auto"/>
          <w:kern w:val="0"/>
          <w:sz w:val="24"/>
          <w:szCs w:val="24"/>
          <w:highlight w:val="yellow"/>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highlight w:val="yellow"/>
          <w:lang w:eastAsia="zh-CN"/>
        </w:rPr>
      </w:pPr>
      <w:r>
        <w:rPr>
          <w:rFonts w:hint="eastAsia" w:ascii="宋体" w:hAnsi="宋体" w:eastAsia="宋体" w:cs="宋体"/>
          <w:color w:val="auto"/>
          <w:kern w:val="0"/>
          <w:sz w:val="24"/>
          <w:szCs w:val="24"/>
          <w:highlight w:val="yellow"/>
          <w:lang w:val="en-US" w:eastAsia="zh-CN"/>
        </w:rPr>
        <w:t>2</w:t>
      </w:r>
      <w:r>
        <w:rPr>
          <w:rFonts w:hint="eastAsia" w:ascii="宋体" w:hAnsi="宋体" w:cs="宋体"/>
          <w:color w:val="auto"/>
          <w:kern w:val="0"/>
          <w:sz w:val="24"/>
          <w:szCs w:val="24"/>
          <w:highlight w:val="yellow"/>
          <w:lang w:val="en-US" w:eastAsia="zh-CN"/>
        </w:rPr>
        <w:t>.根据不同档次或需求评选能够实现基本要求的供应商</w:t>
      </w:r>
      <w:r>
        <w:rPr>
          <w:rFonts w:hint="eastAsia" w:ascii="宋体" w:hAnsi="宋体" w:eastAsia="宋体" w:cs="宋体"/>
          <w:color w:val="auto"/>
          <w:kern w:val="0"/>
          <w:sz w:val="24"/>
          <w:szCs w:val="24"/>
          <w:highlight w:val="yellow"/>
        </w:rPr>
        <w:t>，</w:t>
      </w:r>
      <w:r>
        <w:rPr>
          <w:rFonts w:hint="eastAsia" w:ascii="宋体" w:hAnsi="宋体" w:cs="宋体"/>
          <w:color w:val="auto"/>
          <w:kern w:val="0"/>
          <w:sz w:val="24"/>
          <w:szCs w:val="24"/>
          <w:highlight w:val="yellow"/>
          <w:lang w:val="en-US" w:eastAsia="zh-CN"/>
        </w:rPr>
        <w:t>按</w:t>
      </w:r>
      <w:r>
        <w:rPr>
          <w:rFonts w:hint="eastAsia" w:ascii="宋体" w:hAnsi="宋体" w:eastAsia="宋体" w:cs="宋体"/>
          <w:color w:val="auto"/>
          <w:kern w:val="0"/>
          <w:sz w:val="24"/>
          <w:szCs w:val="24"/>
          <w:highlight w:val="yellow"/>
          <w:lang w:eastAsia="zh-CN"/>
        </w:rPr>
        <w:t>竞选报价</w:t>
      </w:r>
      <w:r>
        <w:rPr>
          <w:rFonts w:hint="eastAsia" w:ascii="宋体" w:hAnsi="宋体" w:eastAsia="宋体" w:cs="宋体"/>
          <w:color w:val="auto"/>
          <w:kern w:val="0"/>
          <w:sz w:val="24"/>
          <w:szCs w:val="24"/>
          <w:highlight w:val="yellow"/>
        </w:rPr>
        <w:t>由低到高的顺序，</w:t>
      </w:r>
      <w:r>
        <w:rPr>
          <w:rFonts w:hint="eastAsia" w:ascii="宋体" w:hAnsi="宋体" w:cs="宋体"/>
          <w:color w:val="auto"/>
          <w:kern w:val="0"/>
          <w:sz w:val="24"/>
          <w:szCs w:val="24"/>
          <w:highlight w:val="yellow"/>
          <w:lang w:val="en-US" w:eastAsia="zh-CN"/>
        </w:rPr>
        <w:t>遴选出拟中选供应商</w:t>
      </w:r>
      <w:r>
        <w:rPr>
          <w:rFonts w:hint="eastAsia" w:ascii="宋体" w:hAnsi="宋体" w:cs="宋体"/>
          <w:color w:val="auto"/>
          <w:kern w:val="0"/>
          <w:sz w:val="24"/>
          <w:szCs w:val="24"/>
          <w:highlight w:val="yellow"/>
          <w:lang w:eastAsia="zh-CN"/>
        </w:rPr>
        <w:t>。</w:t>
      </w:r>
    </w:p>
    <w:p w14:paraId="2853F9D2">
      <w:pPr>
        <w:snapToGrid w:val="0"/>
        <w:spacing w:line="400" w:lineRule="exact"/>
        <w:ind w:firstLine="480" w:firstLineChars="200"/>
        <w:rPr>
          <w:rFonts w:hint="eastAsia"/>
          <w:color w:val="auto"/>
          <w:sz w:val="24"/>
          <w:szCs w:val="16"/>
          <w:highlight w:val="yellow"/>
          <w:lang w:eastAsia="zh-CN"/>
        </w:rPr>
      </w:pPr>
      <w:r>
        <w:rPr>
          <w:rFonts w:hint="eastAsia" w:ascii="宋体" w:hAnsi="宋体" w:cs="宋体"/>
          <w:color w:val="auto"/>
          <w:kern w:val="0"/>
          <w:sz w:val="24"/>
          <w:szCs w:val="24"/>
          <w:highlight w:val="yellow"/>
          <w:lang w:val="en-US" w:eastAsia="zh-CN"/>
        </w:rPr>
        <w:t>3.若对投报产品性能不了解，则由需求部门进行性能验证后择优遴选出中选产品</w:t>
      </w:r>
      <w:r>
        <w:rPr>
          <w:rFonts w:hint="eastAsia" w:ascii="宋体" w:hAnsi="宋体" w:eastAsia="宋体" w:cs="宋体"/>
          <w:color w:val="auto"/>
          <w:kern w:val="0"/>
          <w:sz w:val="24"/>
          <w:szCs w:val="24"/>
          <w:highlight w:val="yellow"/>
        </w:rPr>
        <w:t>。</w:t>
      </w:r>
    </w:p>
    <w:p w14:paraId="007A3CC1">
      <w:pPr>
        <w:snapToGrid w:val="0"/>
        <w:spacing w:line="400" w:lineRule="exact"/>
        <w:ind w:firstLine="465"/>
        <w:rPr>
          <w:rFonts w:hint="eastAsia" w:ascii="宋体" w:hAnsi="宋体" w:cs="宋体"/>
          <w:color w:val="auto"/>
          <w:sz w:val="24"/>
          <w:szCs w:val="24"/>
          <w:highlight w:val="yellow"/>
        </w:rPr>
      </w:pPr>
      <w:r>
        <w:rPr>
          <w:rFonts w:hint="eastAsia" w:ascii="宋体" w:hAnsi="宋体" w:cs="宋体"/>
          <w:color w:val="auto"/>
          <w:sz w:val="24"/>
          <w:szCs w:val="24"/>
          <w:highlight w:val="yellow"/>
        </w:rPr>
        <w:t>说明：院内采购小组及评审专家认为竞选人的报价明显低于其他通过</w:t>
      </w:r>
      <w:r>
        <w:rPr>
          <w:rFonts w:hint="eastAsia" w:ascii="宋体" w:hAnsi="宋体" w:cs="宋体"/>
          <w:color w:val="auto"/>
          <w:sz w:val="24"/>
          <w:szCs w:val="24"/>
          <w:highlight w:val="yellow"/>
          <w:lang w:val="en-US" w:eastAsia="zh-CN"/>
        </w:rPr>
        <w:t>资格</w:t>
      </w:r>
      <w:r>
        <w:rPr>
          <w:rFonts w:hint="eastAsia" w:ascii="宋体" w:hAnsi="宋体" w:cs="宋体"/>
          <w:color w:val="auto"/>
          <w:sz w:val="24"/>
          <w:szCs w:val="24"/>
          <w:highlight w:val="yellow"/>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highlight w:val="yellow"/>
        </w:rPr>
      </w:pPr>
      <w:bookmarkStart w:id="107" w:name="_Toc5251"/>
      <w:bookmarkStart w:id="108" w:name="_Toc16925"/>
      <w:bookmarkStart w:id="109" w:name="_Toc30068"/>
      <w:bookmarkStart w:id="110" w:name="_Toc8546"/>
      <w:bookmarkStart w:id="111" w:name="_Toc2900"/>
      <w:bookmarkStart w:id="112" w:name="_Toc76373889"/>
    </w:p>
    <w:p w14:paraId="007A6614">
      <w:pPr>
        <w:numPr>
          <w:ilvl w:val="0"/>
          <w:numId w:val="0"/>
        </w:numPr>
        <w:spacing w:line="400" w:lineRule="exact"/>
        <w:outlineLvl w:val="1"/>
        <w:rPr>
          <w:rFonts w:hint="eastAsia" w:cs="宋体"/>
          <w:b/>
          <w:color w:val="auto"/>
          <w:sz w:val="24"/>
          <w:highlight w:val="yellow"/>
        </w:rPr>
      </w:pPr>
      <w:bookmarkStart w:id="113" w:name="_Toc13294"/>
      <w:r>
        <w:rPr>
          <w:rFonts w:hint="eastAsia" w:cs="宋体"/>
          <w:b/>
          <w:color w:val="auto"/>
          <w:sz w:val="24"/>
          <w:highlight w:val="yellow"/>
          <w:lang w:eastAsia="zh-CN"/>
        </w:rPr>
        <w:t>三、</w:t>
      </w:r>
      <w:r>
        <w:rPr>
          <w:rFonts w:hint="eastAsia" w:cs="宋体"/>
          <w:b/>
          <w:color w:val="auto"/>
          <w:sz w:val="24"/>
          <w:highlight w:val="yellow"/>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highlight w:val="yellow"/>
        </w:rPr>
      </w:pPr>
      <w:bookmarkStart w:id="114" w:name="_Toc28228"/>
      <w:r>
        <w:rPr>
          <w:rFonts w:hint="eastAsia" w:ascii="宋体" w:hAnsi="宋体" w:eastAsia="宋体" w:cs="宋体"/>
          <w:color w:val="auto"/>
          <w:sz w:val="24"/>
          <w:szCs w:val="24"/>
          <w:highlight w:val="yellow"/>
        </w:rPr>
        <w:t>竞选人或其竞选文件出现下列情况之一者，经评审专家组讨论后，可</w:t>
      </w:r>
      <w:r>
        <w:rPr>
          <w:rFonts w:hint="eastAsia" w:ascii="宋体" w:hAnsi="宋体" w:cs="宋体"/>
          <w:color w:val="auto"/>
          <w:sz w:val="24"/>
          <w:szCs w:val="24"/>
          <w:highlight w:val="yellow"/>
          <w:lang w:val="en-US" w:eastAsia="zh-CN"/>
        </w:rPr>
        <w:t>认定为</w:t>
      </w:r>
      <w:r>
        <w:rPr>
          <w:rFonts w:hint="eastAsia" w:ascii="宋体" w:hAnsi="宋体" w:eastAsia="宋体" w:cs="宋体"/>
          <w:color w:val="auto"/>
          <w:sz w:val="24"/>
          <w:szCs w:val="24"/>
          <w:highlight w:val="yellow"/>
        </w:rPr>
        <w:t>无效竞选：</w:t>
      </w:r>
      <w:bookmarkEnd w:id="114"/>
    </w:p>
    <w:p w14:paraId="0754407D">
      <w:pPr>
        <w:snapToGrid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val="en-US" w:eastAsia="zh-CN"/>
        </w:rPr>
        <w:t>1、</w:t>
      </w:r>
      <w:r>
        <w:rPr>
          <w:rFonts w:hint="eastAsia" w:ascii="宋体" w:hAnsi="宋体" w:cs="宋体"/>
          <w:color w:val="auto"/>
          <w:sz w:val="24"/>
          <w:szCs w:val="24"/>
          <w:highlight w:val="yellow"/>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3D4A30B9">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09B3B751">
      <w:pPr>
        <w:spacing w:line="400" w:lineRule="exact"/>
        <w:outlineLvl w:val="1"/>
        <w:rPr>
          <w:rFonts w:hint="eastAsia" w:cs="宋体"/>
          <w:b/>
          <w:color w:val="auto"/>
          <w:sz w:val="24"/>
        </w:rPr>
      </w:pPr>
      <w:bookmarkStart w:id="115" w:name="_Toc27443"/>
      <w:bookmarkStart w:id="116" w:name="_Toc76373890"/>
      <w:bookmarkStart w:id="117" w:name="_Toc11342"/>
      <w:bookmarkStart w:id="118" w:name="_Toc11654"/>
      <w:bookmarkStart w:id="119" w:name="_Toc20034"/>
      <w:bookmarkStart w:id="120" w:name="_Toc26071"/>
      <w:r>
        <w:rPr>
          <w:rFonts w:hint="eastAsia" w:cs="宋体"/>
          <w:b/>
          <w:color w:val="auto"/>
          <w:sz w:val="24"/>
          <w:lang w:eastAsia="zh-CN"/>
        </w:rPr>
        <w:t>四、</w:t>
      </w:r>
      <w:r>
        <w:rPr>
          <w:rFonts w:hint="eastAsia" w:cs="宋体"/>
          <w:b/>
          <w:color w:val="auto"/>
          <w:sz w:val="24"/>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5AF78AF9">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1" w:name="_Toc10547"/>
      <w:bookmarkStart w:id="122" w:name="_Toc10864"/>
      <w:bookmarkStart w:id="123" w:name="_Toc25199"/>
      <w:bookmarkStart w:id="124" w:name="_Toc27646"/>
      <w:bookmarkStart w:id="125" w:name="_Toc76373891"/>
      <w:bookmarkStart w:id="126" w:name="_Toc20391"/>
      <w:r>
        <w:rPr>
          <w:rFonts w:hint="eastAsia" w:ascii="宋体" w:hAnsi="宋体" w:cs="宋体"/>
          <w:b/>
          <w:color w:val="auto"/>
          <w:szCs w:val="36"/>
        </w:rPr>
        <w:t xml:space="preserve">第四篇  </w:t>
      </w:r>
      <w:bookmarkStart w:id="127" w:name="_Toc258354120"/>
      <w:bookmarkStart w:id="128" w:name="_Toc349642178"/>
      <w:r>
        <w:rPr>
          <w:rFonts w:hint="eastAsia" w:ascii="宋体" w:hAnsi="宋体" w:cs="宋体"/>
          <w:b/>
          <w:bCs/>
          <w:color w:val="auto"/>
          <w:kern w:val="36"/>
          <w:sz w:val="32"/>
          <w:szCs w:val="21"/>
        </w:rPr>
        <w:t>中选通知及合同</w:t>
      </w:r>
      <w:bookmarkEnd w:id="127"/>
      <w:bookmarkEnd w:id="128"/>
      <w:r>
        <w:rPr>
          <w:rFonts w:hint="eastAsia" w:ascii="宋体" w:hAnsi="宋体" w:cs="宋体"/>
          <w:b/>
          <w:bCs/>
          <w:color w:val="auto"/>
          <w:kern w:val="36"/>
          <w:sz w:val="32"/>
          <w:szCs w:val="21"/>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9" w:name="_Toc27709"/>
      <w:r>
        <w:rPr>
          <w:rFonts w:hint="eastAsia" w:ascii="宋体" w:hAnsi="宋体" w:cs="宋体"/>
          <w:b/>
          <w:bCs/>
          <w:color w:val="auto"/>
          <w:sz w:val="24"/>
          <w:szCs w:val="24"/>
        </w:rPr>
        <w:t>一</w:t>
      </w:r>
      <w:r>
        <w:rPr>
          <w:rFonts w:hint="eastAsia" w:cs="宋体"/>
          <w:b/>
          <w:color w:val="auto"/>
          <w:sz w:val="24"/>
        </w:rPr>
        <w:t>、中选通知</w:t>
      </w:r>
      <w:bookmarkEnd w:id="129"/>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0" w:name="_Toc29342"/>
      <w:r>
        <w:rPr>
          <w:rFonts w:hint="eastAsia" w:ascii="宋体" w:hAnsi="宋体" w:cs="宋体"/>
          <w:b/>
          <w:bCs/>
          <w:color w:val="auto"/>
          <w:sz w:val="24"/>
          <w:szCs w:val="24"/>
        </w:rPr>
        <w:t>二、</w:t>
      </w:r>
      <w:bookmarkStart w:id="131"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2" w:name="_Toc23535"/>
      <w:r>
        <w:rPr>
          <w:rFonts w:hint="eastAsia" w:ascii="宋体" w:hAnsi="宋体" w:cs="宋体"/>
          <w:b/>
          <w:bCs/>
          <w:color w:val="auto"/>
          <w:sz w:val="24"/>
          <w:szCs w:val="24"/>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3" w:name="_Toc10698"/>
      <w:r>
        <w:rPr>
          <w:rFonts w:hint="eastAsia" w:ascii="宋体" w:hAnsi="宋体" w:cs="宋体"/>
          <w:b/>
          <w:bCs/>
          <w:color w:val="auto"/>
          <w:sz w:val="24"/>
          <w:szCs w:val="24"/>
        </w:rPr>
        <w:t>四、其它</w:t>
      </w:r>
      <w:bookmarkEnd w:id="133"/>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4" w:name="_Toc10152"/>
      <w:bookmarkStart w:id="135" w:name="_Toc20762"/>
      <w:bookmarkStart w:id="136" w:name="_Toc76373904"/>
      <w:bookmarkStart w:id="137" w:name="_Toc2975"/>
      <w:bookmarkStart w:id="138" w:name="_Toc24088"/>
      <w:bookmarkStart w:id="139" w:name="_Toc19409"/>
      <w:r>
        <w:rPr>
          <w:rFonts w:hint="eastAsia" w:ascii="宋体" w:hAnsi="宋体" w:cs="宋体"/>
          <w:b/>
          <w:color w:val="auto"/>
          <w:szCs w:val="36"/>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rPr>
      </w:pPr>
      <w:bookmarkStart w:id="140" w:name="_Toc7750"/>
      <w:bookmarkStart w:id="141" w:name="_Toc11763"/>
      <w:bookmarkStart w:id="142" w:name="_Toc25920"/>
      <w:bookmarkStart w:id="143" w:name="_Toc16112"/>
      <w:bookmarkStart w:id="144" w:name="_Toc12863"/>
      <w:bookmarkStart w:id="145" w:name="_Toc11892"/>
      <w:bookmarkStart w:id="146" w:name="_Toc76373907"/>
      <w:r>
        <w:rPr>
          <w:rFonts w:hint="eastAsia" w:ascii="宋体" w:hAnsi="宋体" w:cs="宋体"/>
          <w:b/>
          <w:color w:val="auto"/>
          <w:sz w:val="32"/>
          <w:szCs w:val="40"/>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rPr>
      </w:pPr>
      <w:bookmarkStart w:id="147"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7"/>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yellow"/>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一</w:t>
      </w:r>
      <w:r>
        <w:rPr>
          <w:rFonts w:hint="eastAsia" w:ascii="宋体" w:hAnsi="宋体" w:eastAsia="宋体" w:cs="宋体"/>
          <w:color w:val="auto"/>
          <w:kern w:val="2"/>
          <w:sz w:val="24"/>
          <w:szCs w:val="24"/>
          <w:highlight w:val="yellow"/>
          <w:lang w:val="en-US" w:eastAsia="zh-CN" w:bidi="ar-SA"/>
        </w:rPr>
        <w:t>）</w:t>
      </w:r>
      <w:r>
        <w:rPr>
          <w:rFonts w:hint="eastAsia" w:ascii="宋体" w:hAnsi="宋体" w:eastAsia="宋体" w:cs="宋体"/>
          <w:color w:val="auto"/>
          <w:sz w:val="24"/>
          <w:szCs w:val="24"/>
          <w:highlight w:val="yellow"/>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二</w:t>
      </w:r>
      <w:r>
        <w:rPr>
          <w:rFonts w:hint="eastAsia" w:ascii="宋体" w:hAnsi="宋体" w:eastAsia="宋体" w:cs="宋体"/>
          <w:color w:val="auto"/>
          <w:kern w:val="2"/>
          <w:sz w:val="24"/>
          <w:szCs w:val="24"/>
          <w:highlight w:val="yellow"/>
          <w:lang w:val="en-US" w:eastAsia="zh-CN" w:bidi="ar-SA"/>
        </w:rPr>
        <w:t>）专用设备报价表(</w:t>
      </w:r>
      <w:bookmarkStart w:id="148" w:name="OLE_LINK14"/>
      <w:r>
        <w:rPr>
          <w:rFonts w:hint="eastAsia" w:ascii="宋体" w:hAnsi="宋体" w:eastAsia="宋体" w:cs="宋体"/>
          <w:color w:val="auto"/>
          <w:kern w:val="2"/>
          <w:sz w:val="24"/>
          <w:szCs w:val="24"/>
          <w:highlight w:val="yellow"/>
          <w:lang w:val="en-US" w:eastAsia="zh-CN" w:bidi="ar-SA"/>
        </w:rPr>
        <w:t>如</w:t>
      </w:r>
      <w:bookmarkEnd w:id="148"/>
      <w:r>
        <w:rPr>
          <w:rFonts w:hint="eastAsia" w:ascii="宋体" w:hAnsi="宋体" w:eastAsia="宋体" w:cs="宋体"/>
          <w:color w:val="auto"/>
          <w:kern w:val="2"/>
          <w:sz w:val="24"/>
          <w:szCs w:val="24"/>
          <w:highlight w:val="yellow"/>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bookmarkStart w:id="149" w:name="OLE_LINK13"/>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三</w:t>
      </w:r>
      <w:r>
        <w:rPr>
          <w:rFonts w:hint="eastAsia" w:ascii="宋体" w:hAnsi="宋体" w:eastAsia="宋体" w:cs="宋体"/>
          <w:color w:val="auto"/>
          <w:kern w:val="2"/>
          <w:sz w:val="24"/>
          <w:szCs w:val="24"/>
          <w:highlight w:val="yellow"/>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17664"/>
      <w:r>
        <w:rPr>
          <w:rFonts w:hint="eastAsia" w:ascii="宋体" w:hAnsi="宋体" w:cs="宋体"/>
          <w:b/>
          <w:bCs/>
          <w:color w:val="auto"/>
          <w:sz w:val="24"/>
          <w:szCs w:val="24"/>
        </w:rPr>
        <w:t>四、技术（质量）文件</w:t>
      </w:r>
      <w:bookmarkEnd w:id="150"/>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4012"/>
      <w:bookmarkStart w:id="152" w:name="_Toc24824"/>
      <w:r>
        <w:rPr>
          <w:rFonts w:hint="eastAsia" w:ascii="宋体" w:hAnsi="宋体" w:cs="宋体"/>
          <w:b/>
          <w:bCs/>
          <w:color w:val="auto"/>
          <w:sz w:val="24"/>
          <w:szCs w:val="24"/>
        </w:rPr>
        <w:t>五、</w:t>
      </w:r>
      <w:bookmarkEnd w:id="151"/>
      <w:r>
        <w:rPr>
          <w:rFonts w:hint="eastAsia" w:ascii="宋体" w:hAnsi="宋体" w:cs="宋体"/>
          <w:b/>
          <w:bCs/>
          <w:color w:val="auto"/>
          <w:sz w:val="24"/>
          <w:szCs w:val="24"/>
        </w:rPr>
        <w:t>商务文件</w:t>
      </w:r>
      <w:bookmarkEnd w:id="152"/>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3" w:name="_Toc6185"/>
      <w:r>
        <w:rPr>
          <w:rFonts w:hint="eastAsia" w:cs="宋体"/>
          <w:b/>
          <w:bCs/>
          <w:color w:val="auto"/>
          <w:sz w:val="24"/>
          <w:szCs w:val="24"/>
        </w:rPr>
        <w:t>六、</w:t>
      </w:r>
      <w:r>
        <w:rPr>
          <w:rFonts w:hint="eastAsia" w:ascii="宋体" w:hAnsi="宋体" w:cs="宋体"/>
          <w:b/>
          <w:bCs/>
          <w:color w:val="auto"/>
          <w:sz w:val="24"/>
          <w:szCs w:val="24"/>
        </w:rPr>
        <w:t>资格文件</w:t>
      </w:r>
      <w:bookmarkEnd w:id="153"/>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4" w:name="_Toc3094"/>
      <w:bookmarkStart w:id="155" w:name="_Toc10063"/>
      <w:bookmarkStart w:id="156"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4"/>
      <w:bookmarkEnd w:id="155"/>
      <w:bookmarkEnd w:id="156"/>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D5D319D">
      <w:pPr>
        <w:pageBreakBefore/>
        <w:spacing w:line="500" w:lineRule="exact"/>
        <w:outlineLvl w:val="1"/>
        <w:rPr>
          <w:rFonts w:hint="eastAsia" w:cs="宋体"/>
          <w:b/>
          <w:color w:val="000000"/>
          <w:szCs w:val="28"/>
        </w:rPr>
      </w:pPr>
      <w:bookmarkStart w:id="157" w:name="_Toc15483"/>
      <w:bookmarkStart w:id="158" w:name="OLE_LINK9"/>
      <w:bookmarkStart w:id="159" w:name="OLE_LINK6"/>
      <w:bookmarkStart w:id="160" w:name="_Toc21431"/>
      <w:bookmarkStart w:id="161" w:name="_Toc9795"/>
      <w:bookmarkStart w:id="162" w:name="_Toc493178790"/>
      <w:bookmarkStart w:id="163" w:name="_Toc76373909"/>
      <w:bookmarkStart w:id="164" w:name="_Toc27306"/>
      <w:bookmarkStart w:id="165" w:name="_Toc21830"/>
      <w:bookmarkStart w:id="166" w:name="_Toc23879"/>
      <w:bookmarkStart w:id="167" w:name="_Toc28644"/>
      <w:bookmarkStart w:id="168" w:name="OLE_LINK12"/>
      <w:r>
        <w:rPr>
          <w:rFonts w:hint="eastAsia" w:cs="宋体"/>
          <w:b/>
          <w:color w:val="000000"/>
          <w:szCs w:val="28"/>
          <w:lang w:eastAsia="zh-CN"/>
        </w:rPr>
        <w:t>一</w:t>
      </w:r>
      <w:r>
        <w:rPr>
          <w:rFonts w:hint="eastAsia" w:cs="宋体"/>
          <w:b/>
          <w:color w:val="000000"/>
          <w:szCs w:val="28"/>
        </w:rPr>
        <w:t>、</w:t>
      </w:r>
      <w:r>
        <w:rPr>
          <w:rFonts w:hint="eastAsia" w:cs="宋体"/>
          <w:b/>
          <w:color w:val="000000"/>
          <w:szCs w:val="28"/>
          <w:lang w:eastAsia="zh-CN"/>
        </w:rPr>
        <w:t>经济</w:t>
      </w:r>
      <w:r>
        <w:rPr>
          <w:rFonts w:hint="eastAsia" w:cs="宋体"/>
          <w:b/>
          <w:color w:val="000000"/>
          <w:szCs w:val="28"/>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highlight w:val="yellow"/>
        </w:rPr>
      </w:pPr>
      <w:bookmarkStart w:id="169" w:name="OLE_LINK10"/>
      <w:r>
        <w:rPr>
          <w:rFonts w:hint="eastAsia" w:ascii="宋体" w:hAnsi="宋体" w:eastAsia="宋体" w:cs="宋体"/>
          <w:sz w:val="24"/>
          <w:szCs w:val="24"/>
          <w:highlight w:val="yellow"/>
          <w:lang w:eastAsia="zh-CN"/>
        </w:rPr>
        <w:t>（</w:t>
      </w:r>
      <w:r>
        <w:rPr>
          <w:rFonts w:hint="eastAsia" w:ascii="宋体" w:hAnsi="宋体" w:cs="宋体"/>
          <w:sz w:val="24"/>
          <w:szCs w:val="24"/>
          <w:highlight w:val="yellow"/>
          <w:lang w:val="en-US" w:eastAsia="zh-CN"/>
        </w:rPr>
        <w:t>一</w:t>
      </w:r>
      <w:r>
        <w:rPr>
          <w:rFonts w:hint="eastAsia" w:ascii="宋体" w:hAnsi="宋体" w:eastAsia="宋体" w:cs="宋体"/>
          <w:sz w:val="24"/>
          <w:szCs w:val="24"/>
          <w:highlight w:val="yellow"/>
          <w:lang w:eastAsia="zh-CN"/>
        </w:rPr>
        <w:t>）</w:t>
      </w:r>
      <w:r>
        <w:rPr>
          <w:rFonts w:hint="eastAsia" w:ascii="宋体" w:hAnsi="宋体" w:eastAsia="宋体" w:cs="宋体"/>
          <w:sz w:val="24"/>
          <w:szCs w:val="24"/>
          <w:highlight w:val="yellow"/>
        </w:rPr>
        <w:t>开标现场最终报价表</w:t>
      </w:r>
    </w:p>
    <w:bookmarkEnd w:id="169"/>
    <w:p w14:paraId="76B976A1">
      <w:pPr>
        <w:pStyle w:val="2"/>
        <w:numPr>
          <w:ilvl w:val="0"/>
          <w:numId w:val="0"/>
        </w:numPr>
        <w:rPr>
          <w:rFonts w:hint="eastAsia" w:ascii="宋体" w:hAnsi="宋体" w:eastAsia="宋体" w:cs="宋体"/>
          <w:color w:val="000000"/>
          <w:sz w:val="24"/>
          <w:szCs w:val="24"/>
          <w:highlight w:val="yellow"/>
          <w:lang w:eastAsia="zh-CN"/>
        </w:rPr>
      </w:pPr>
      <w:r>
        <w:rPr>
          <w:rFonts w:hint="eastAsia"/>
          <w:highlight w:val="yellow"/>
          <w:lang w:val="en-US" w:eastAsia="zh-CN"/>
        </w:rPr>
        <w:t xml:space="preserve">     注：</w:t>
      </w:r>
      <w:r>
        <w:rPr>
          <w:rFonts w:hint="eastAsia" w:ascii="宋体" w:hAnsi="宋体" w:eastAsia="宋体" w:cs="宋体"/>
          <w:color w:val="000000"/>
          <w:sz w:val="24"/>
          <w:szCs w:val="24"/>
          <w:highlight w:val="yellow"/>
          <w:lang w:val="en-US" w:eastAsia="zh-CN"/>
        </w:rPr>
        <w:t>“</w:t>
      </w:r>
      <w:r>
        <w:rPr>
          <w:rFonts w:hint="eastAsia" w:ascii="宋体" w:hAnsi="宋体" w:eastAsia="宋体" w:cs="宋体"/>
          <w:color w:val="000000"/>
          <w:sz w:val="24"/>
          <w:szCs w:val="24"/>
          <w:highlight w:val="yellow"/>
        </w:rPr>
        <w:t>开标现场最终报价表</w:t>
      </w:r>
      <w:r>
        <w:rPr>
          <w:rFonts w:hint="eastAsia" w:ascii="宋体" w:hAnsi="宋体" w:eastAsia="宋体" w:cs="宋体"/>
          <w:color w:val="000000"/>
          <w:sz w:val="24"/>
          <w:szCs w:val="24"/>
          <w:highlight w:val="yellow"/>
          <w:lang w:val="en-US" w:eastAsia="zh-CN"/>
        </w:rPr>
        <w:t>”</w:t>
      </w:r>
      <w:r>
        <w:rPr>
          <w:rFonts w:hint="default" w:ascii="宋体" w:hAnsi="宋体" w:eastAsia="宋体" w:cs="宋体"/>
          <w:color w:val="000000"/>
          <w:sz w:val="24"/>
          <w:szCs w:val="24"/>
          <w:highlight w:val="yellow"/>
          <w:lang w:val="en-US" w:eastAsia="zh-CN"/>
        </w:rPr>
        <w:t>须</w:t>
      </w:r>
      <w:r>
        <w:rPr>
          <w:rFonts w:hint="default" w:ascii="宋体" w:hAnsi="宋体" w:eastAsia="宋体" w:cs="宋体"/>
          <w:color w:val="000000"/>
          <w:sz w:val="24"/>
          <w:szCs w:val="24"/>
          <w:highlight w:val="yellow"/>
        </w:rPr>
        <w:t>与报名时提交的“耗材报名表”的中载明的产品信息（含产品注册证名称、规格型号、顺序等）保持一致</w:t>
      </w:r>
      <w:r>
        <w:rPr>
          <w:rFonts w:hint="eastAsia" w:ascii="宋体" w:hAnsi="宋体" w:eastAsia="宋体" w:cs="宋体"/>
          <w:color w:val="000000"/>
          <w:sz w:val="24"/>
          <w:szCs w:val="24"/>
          <w:highlight w:val="yellow"/>
          <w:lang w:eastAsia="zh-CN"/>
        </w:rPr>
        <w:t>。</w:t>
      </w:r>
      <w:r>
        <w:rPr>
          <w:rFonts w:hint="eastAsia" w:ascii="宋体" w:hAnsi="宋体" w:eastAsia="宋体" w:cs="宋体"/>
          <w:b/>
          <w:bCs/>
          <w:color w:val="000000"/>
          <w:sz w:val="24"/>
          <w:szCs w:val="24"/>
          <w:highlight w:val="yellow"/>
          <w:lang w:val="en-US" w:eastAsia="zh-CN"/>
        </w:rPr>
        <w:t>“</w:t>
      </w:r>
      <w:r>
        <w:rPr>
          <w:rFonts w:hint="eastAsia" w:ascii="宋体" w:hAnsi="宋体" w:eastAsia="宋体" w:cs="宋体"/>
          <w:b/>
          <w:bCs/>
          <w:color w:val="000000"/>
          <w:sz w:val="24"/>
          <w:szCs w:val="24"/>
          <w:highlight w:val="yellow"/>
        </w:rPr>
        <w:t>开标现场最终报价表</w:t>
      </w:r>
      <w:r>
        <w:rPr>
          <w:rFonts w:hint="eastAsia" w:ascii="宋体" w:hAnsi="宋体" w:eastAsia="宋体" w:cs="宋体"/>
          <w:b/>
          <w:bCs/>
          <w:color w:val="000000"/>
          <w:sz w:val="24"/>
          <w:szCs w:val="24"/>
          <w:highlight w:val="yellow"/>
          <w:lang w:val="en-US" w:eastAsia="zh-CN"/>
        </w:rPr>
        <w:t>”除了报价现场填写，其他电子文档填写后打印做到标书里面。</w:t>
      </w:r>
    </w:p>
    <w:p w14:paraId="1E02DC79">
      <w:pPr>
        <w:rPr>
          <w:rFonts w:hint="default"/>
          <w:lang w:val="en-US" w:eastAsia="zh-CN"/>
        </w:rPr>
      </w:pPr>
    </w:p>
    <w:p w14:paraId="0B55774C">
      <w:pPr>
        <w:jc w:val="center"/>
        <w:rPr>
          <w:rFonts w:hint="eastAsia" w:ascii="宋体" w:hAnsi="宋体" w:eastAsia="宋体" w:cs="宋体"/>
          <w:sz w:val="36"/>
          <w:szCs w:val="36"/>
        </w:rPr>
      </w:pPr>
      <w:bookmarkStart w:id="170" w:name="OLE_LINK5"/>
      <w:r>
        <w:rPr>
          <w:rFonts w:hint="eastAsia" w:ascii="宋体" w:hAnsi="宋体" w:eastAsia="宋体" w:cs="宋体"/>
          <w:b/>
          <w:color w:val="auto"/>
          <w:sz w:val="36"/>
          <w:szCs w:val="36"/>
        </w:rPr>
        <w:t>开标现场最终报价表</w:t>
      </w:r>
      <w:bookmarkEnd w:id="170"/>
    </w:p>
    <w:p w14:paraId="1B923B22">
      <w:pPr>
        <w:tabs>
          <w:tab w:val="left" w:pos="6300"/>
        </w:tabs>
        <w:snapToGrid w:val="0"/>
        <w:spacing w:line="312" w:lineRule="auto"/>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lang w:val="de-DE" w:eastAsia="zh-CN"/>
              </w:rPr>
            </w:pPr>
            <w:r>
              <w:rPr>
                <w:rFonts w:hint="eastAsia" w:ascii="宋体" w:hAnsi="宋体" w:eastAsia="宋体" w:cs="宋体"/>
                <w:b w:val="0"/>
                <w:bCs/>
                <w:sz w:val="28"/>
                <w:szCs w:val="28"/>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lang w:eastAsia="zh-CN"/>
              </w:rPr>
            </w:pPr>
            <w:r>
              <w:rPr>
                <w:rFonts w:hint="eastAsia" w:ascii="宋体" w:hAnsi="宋体" w:eastAsia="宋体" w:cs="宋体"/>
                <w:b w:val="0"/>
                <w:bCs/>
                <w:color w:val="000000"/>
                <w:sz w:val="28"/>
                <w:szCs w:val="28"/>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w:t>
            </w:r>
            <w:r>
              <w:rPr>
                <w:rFonts w:hint="eastAsia" w:ascii="宋体" w:hAnsi="宋体" w:eastAsia="宋体" w:cs="宋体"/>
                <w:b w:val="0"/>
                <w:bCs/>
                <w:sz w:val="28"/>
                <w:szCs w:val="28"/>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产地</w:t>
            </w:r>
          </w:p>
        </w:tc>
        <w:tc>
          <w:tcPr>
            <w:tcW w:w="1373" w:type="dxa"/>
            <w:noWrap w:val="0"/>
            <w:vAlign w:val="center"/>
          </w:tcPr>
          <w:p w14:paraId="60186028">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lang w:val="en-US" w:eastAsia="zh-CN"/>
              </w:rPr>
              <w:t>线上报</w:t>
            </w:r>
            <w:r>
              <w:rPr>
                <w:rFonts w:hint="eastAsia" w:ascii="宋体" w:hAnsi="宋体" w:eastAsia="宋体" w:cs="宋体"/>
                <w:b w:val="0"/>
                <w:bCs/>
                <w:color w:val="000000"/>
                <w:sz w:val="28"/>
                <w:szCs w:val="28"/>
              </w:rPr>
              <w:t>价（元）</w:t>
            </w:r>
          </w:p>
        </w:tc>
        <w:tc>
          <w:tcPr>
            <w:tcW w:w="1291" w:type="dxa"/>
            <w:noWrap w:val="0"/>
            <w:vAlign w:val="center"/>
          </w:tcPr>
          <w:p w14:paraId="3B51D39B">
            <w:pPr>
              <w:jc w:val="center"/>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lang w:val="de-DE"/>
              </w:rPr>
            </w:pPr>
          </w:p>
        </w:tc>
        <w:tc>
          <w:tcPr>
            <w:tcW w:w="930" w:type="dxa"/>
            <w:noWrap w:val="0"/>
            <w:vAlign w:val="center"/>
          </w:tcPr>
          <w:p w14:paraId="536C8358">
            <w:pPr>
              <w:spacing w:line="480" w:lineRule="auto"/>
              <w:jc w:val="center"/>
              <w:rPr>
                <w:rFonts w:hint="eastAsia" w:ascii="宋体" w:hAnsi="宋体" w:eastAsia="宋体" w:cs="宋体"/>
                <w:sz w:val="28"/>
                <w:szCs w:val="28"/>
                <w:lang w:val="de-DE"/>
              </w:rPr>
            </w:pPr>
          </w:p>
        </w:tc>
        <w:tc>
          <w:tcPr>
            <w:tcW w:w="999" w:type="dxa"/>
            <w:noWrap w:val="0"/>
            <w:vAlign w:val="center"/>
          </w:tcPr>
          <w:p w14:paraId="52E0AE9C">
            <w:pPr>
              <w:spacing w:line="480" w:lineRule="auto"/>
              <w:jc w:val="center"/>
              <w:rPr>
                <w:rFonts w:hint="eastAsia" w:ascii="宋体" w:hAnsi="宋体" w:eastAsia="宋体" w:cs="宋体"/>
                <w:sz w:val="28"/>
                <w:szCs w:val="28"/>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lang w:val="de-DE"/>
              </w:rPr>
            </w:pPr>
          </w:p>
        </w:tc>
        <w:tc>
          <w:tcPr>
            <w:tcW w:w="930" w:type="dxa"/>
            <w:noWrap w:val="0"/>
            <w:vAlign w:val="center"/>
          </w:tcPr>
          <w:p w14:paraId="244BA298">
            <w:pPr>
              <w:spacing w:line="480" w:lineRule="auto"/>
              <w:jc w:val="center"/>
              <w:rPr>
                <w:rFonts w:hint="eastAsia" w:ascii="宋体" w:hAnsi="宋体" w:eastAsia="宋体" w:cs="宋体"/>
                <w:sz w:val="28"/>
                <w:szCs w:val="28"/>
                <w:lang w:val="de-DE"/>
              </w:rPr>
            </w:pPr>
          </w:p>
        </w:tc>
        <w:tc>
          <w:tcPr>
            <w:tcW w:w="999" w:type="dxa"/>
            <w:noWrap w:val="0"/>
            <w:vAlign w:val="center"/>
          </w:tcPr>
          <w:p w14:paraId="4DD1353E">
            <w:pPr>
              <w:spacing w:line="480" w:lineRule="auto"/>
              <w:jc w:val="center"/>
              <w:rPr>
                <w:rFonts w:hint="eastAsia" w:ascii="宋体" w:hAnsi="宋体" w:eastAsia="宋体" w:cs="宋体"/>
                <w:sz w:val="28"/>
                <w:szCs w:val="28"/>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竞选</w:t>
      </w:r>
      <w:r>
        <w:rPr>
          <w:rFonts w:hint="eastAsia" w:ascii="宋体" w:hAnsi="宋体" w:eastAsia="宋体" w:cs="宋体"/>
          <w:sz w:val="28"/>
          <w:szCs w:val="28"/>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lang w:val="en-US" w:eastAsia="zh-CN"/>
        </w:rPr>
        <w:t>注：每人份价格需要包含除检测试剂外的定标液、质控品、清洗液、反应杯等其他所有配套耗材。</w:t>
      </w:r>
    </w:p>
    <w:p w14:paraId="62501C3A">
      <w:pPr>
        <w:pStyle w:val="2"/>
        <w:rPr>
          <w:rFonts w:hint="eastAsia"/>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
        <w:rPr>
          <w:rFonts w:hint="eastAsia"/>
        </w:rPr>
      </w:pPr>
    </w:p>
    <w:p w14:paraId="2BF56AD7">
      <w:pPr>
        <w:pStyle w:val="57"/>
        <w:ind w:firstLine="0"/>
        <w:rPr>
          <w:rFonts w:hint="default" w:ascii="宋体" w:hAnsi="宋体" w:eastAsia="宋体" w:cs="宋体"/>
          <w:b/>
          <w:bCs/>
          <w:color w:val="000000"/>
          <w:sz w:val="24"/>
          <w:szCs w:val="24"/>
          <w:lang w:val="en-US"/>
        </w:rPr>
      </w:pPr>
      <w:bookmarkStart w:id="171" w:name="OLE_LINK15"/>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二</w:t>
      </w:r>
      <w:r>
        <w:rPr>
          <w:rFonts w:hint="eastAsia" w:ascii="宋体" w:hAnsi="宋体" w:eastAsia="宋体" w:cs="宋体"/>
          <w:kern w:val="2"/>
          <w:sz w:val="24"/>
          <w:szCs w:val="24"/>
          <w:lang w:val="en-US" w:eastAsia="zh-CN" w:bidi="ar-SA"/>
        </w:rPr>
        <w:t>）</w:t>
      </w:r>
      <w:bookmarkStart w:id="172" w:name="OLE_LINK11"/>
      <w:r>
        <w:rPr>
          <w:rFonts w:hint="eastAsia" w:ascii="宋体" w:hAnsi="宋体" w:eastAsia="宋体" w:cs="宋体"/>
          <w:kern w:val="2"/>
          <w:sz w:val="24"/>
          <w:szCs w:val="24"/>
          <w:lang w:val="en-US" w:eastAsia="zh-CN" w:bidi="ar-SA"/>
        </w:rPr>
        <w:t>专用设备报价表</w:t>
      </w:r>
      <w:bookmarkEnd w:id="171"/>
      <w:bookmarkEnd w:id="172"/>
      <w:bookmarkStart w:id="173" w:name="OLE_LINK18"/>
      <w:r>
        <w:rPr>
          <w:rFonts w:hint="eastAsia" w:eastAsia="宋体" w:cs="宋体"/>
          <w:kern w:val="2"/>
          <w:sz w:val="24"/>
          <w:szCs w:val="24"/>
          <w:lang w:val="en-US" w:eastAsia="zh-CN" w:bidi="ar-SA"/>
        </w:rPr>
        <w:t>(如有)</w:t>
      </w:r>
    </w:p>
    <w:bookmarkEnd w:id="173"/>
    <w:p w14:paraId="13ECB209">
      <w:pPr>
        <w:rPr>
          <w:rFonts w:hint="eastAsia"/>
          <w:color w:val="000000"/>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rPr>
            </w:pPr>
            <w:bookmarkStart w:id="174" w:name="OLE_LINK16"/>
            <w:r>
              <w:rPr>
                <w:rFonts w:hint="eastAsia" w:ascii="宋体" w:hAnsi="宋体" w:cs="宋体"/>
                <w:b/>
                <w:bCs/>
                <w:color w:val="000000"/>
                <w:kern w:val="0"/>
                <w:sz w:val="36"/>
                <w:szCs w:val="36"/>
                <w:lang w:eastAsia="zh-CN" w:bidi="ar"/>
              </w:rPr>
              <w:t>耗材</w:t>
            </w:r>
            <w:r>
              <w:rPr>
                <w:rFonts w:hint="eastAsia" w:ascii="宋体" w:hAnsi="宋体" w:cs="宋体"/>
                <w:b/>
                <w:bCs/>
                <w:color w:val="000000"/>
                <w:kern w:val="0"/>
                <w:sz w:val="36"/>
                <w:szCs w:val="36"/>
                <w:lang w:bidi="ar"/>
              </w:rPr>
              <w:t>配套医用</w:t>
            </w:r>
            <w:r>
              <w:rPr>
                <w:rFonts w:hint="eastAsia" w:ascii="宋体" w:hAnsi="宋体" w:cs="宋体"/>
                <w:b/>
                <w:bCs/>
                <w:color w:val="000000"/>
                <w:kern w:val="0"/>
                <w:sz w:val="36"/>
                <w:szCs w:val="36"/>
                <w:lang w:eastAsia="zh-CN" w:bidi="ar"/>
              </w:rPr>
              <w:t>设备</w:t>
            </w:r>
            <w:r>
              <w:rPr>
                <w:rStyle w:val="225"/>
                <w:rFonts w:hint="default"/>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rPr>
            </w:pPr>
            <w:r>
              <w:rPr>
                <w:rFonts w:hint="eastAsia" w:ascii="楷体" w:hAnsi="楷体" w:eastAsia="楷体"/>
                <w:color w:val="000000"/>
                <w:szCs w:val="28"/>
              </w:rPr>
              <w:t>序号</w:t>
            </w:r>
          </w:p>
        </w:tc>
        <w:tc>
          <w:tcPr>
            <w:tcW w:w="530" w:type="pct"/>
            <w:noWrap w:val="0"/>
            <w:vAlign w:val="center"/>
          </w:tcPr>
          <w:p w14:paraId="7CE86A54">
            <w:pPr>
              <w:spacing w:line="400" w:lineRule="exact"/>
              <w:jc w:val="center"/>
              <w:rPr>
                <w:rFonts w:ascii="楷体" w:hAnsi="楷体" w:eastAsia="楷体"/>
                <w:color w:val="000000"/>
                <w:szCs w:val="28"/>
              </w:rPr>
            </w:pPr>
            <w:r>
              <w:rPr>
                <w:rFonts w:hint="eastAsia" w:ascii="楷体" w:hAnsi="楷体" w:eastAsia="楷体"/>
                <w:color w:val="000000"/>
                <w:szCs w:val="28"/>
              </w:rPr>
              <w:t>品名</w:t>
            </w:r>
          </w:p>
        </w:tc>
        <w:tc>
          <w:tcPr>
            <w:tcW w:w="584" w:type="pct"/>
            <w:noWrap w:val="0"/>
            <w:vAlign w:val="center"/>
          </w:tcPr>
          <w:p w14:paraId="7DCE8D1A">
            <w:pPr>
              <w:spacing w:line="400" w:lineRule="exact"/>
              <w:jc w:val="center"/>
              <w:rPr>
                <w:rFonts w:ascii="楷体" w:hAnsi="楷体" w:eastAsia="楷体"/>
                <w:color w:val="000000"/>
                <w:szCs w:val="28"/>
              </w:rPr>
            </w:pPr>
            <w:r>
              <w:rPr>
                <w:rFonts w:hint="eastAsia" w:ascii="楷体" w:hAnsi="楷体" w:eastAsia="楷体"/>
                <w:color w:val="000000"/>
                <w:szCs w:val="28"/>
              </w:rPr>
              <w:t>厂家</w:t>
            </w:r>
          </w:p>
        </w:tc>
        <w:tc>
          <w:tcPr>
            <w:tcW w:w="463" w:type="pct"/>
            <w:noWrap w:val="0"/>
            <w:vAlign w:val="center"/>
          </w:tcPr>
          <w:p w14:paraId="4505A9CC">
            <w:pPr>
              <w:spacing w:line="400" w:lineRule="exact"/>
              <w:jc w:val="center"/>
              <w:rPr>
                <w:rFonts w:ascii="楷体" w:hAnsi="楷体" w:eastAsia="楷体"/>
                <w:color w:val="000000"/>
                <w:szCs w:val="28"/>
              </w:rPr>
            </w:pPr>
            <w:r>
              <w:rPr>
                <w:rFonts w:hint="eastAsia" w:ascii="楷体" w:hAnsi="楷体" w:eastAsia="楷体"/>
                <w:color w:val="000000"/>
                <w:szCs w:val="28"/>
              </w:rPr>
              <w:t>型号</w:t>
            </w:r>
          </w:p>
        </w:tc>
        <w:tc>
          <w:tcPr>
            <w:tcW w:w="439" w:type="pct"/>
            <w:noWrap w:val="0"/>
            <w:vAlign w:val="center"/>
          </w:tcPr>
          <w:p w14:paraId="632AF01C">
            <w:pPr>
              <w:spacing w:line="400" w:lineRule="exact"/>
              <w:jc w:val="center"/>
              <w:rPr>
                <w:rFonts w:ascii="楷体" w:hAnsi="楷体" w:eastAsia="楷体"/>
                <w:color w:val="000000"/>
                <w:szCs w:val="28"/>
              </w:rPr>
            </w:pPr>
            <w:r>
              <w:rPr>
                <w:rFonts w:hint="eastAsia" w:ascii="楷体" w:hAnsi="楷体" w:eastAsia="楷体"/>
                <w:color w:val="000000"/>
                <w:szCs w:val="28"/>
              </w:rPr>
              <w:t>产地</w:t>
            </w:r>
          </w:p>
        </w:tc>
        <w:tc>
          <w:tcPr>
            <w:tcW w:w="540" w:type="pct"/>
            <w:noWrap w:val="0"/>
            <w:vAlign w:val="center"/>
          </w:tcPr>
          <w:p w14:paraId="7737076F">
            <w:pPr>
              <w:spacing w:line="400" w:lineRule="exact"/>
              <w:jc w:val="center"/>
              <w:rPr>
                <w:rFonts w:ascii="楷体" w:hAnsi="楷体" w:eastAsia="楷体"/>
                <w:color w:val="000000"/>
                <w:szCs w:val="28"/>
              </w:rPr>
            </w:pPr>
            <w:r>
              <w:rPr>
                <w:rFonts w:hint="eastAsia" w:ascii="楷体" w:hAnsi="楷体" w:eastAsia="楷体"/>
                <w:color w:val="000000"/>
                <w:szCs w:val="28"/>
              </w:rPr>
              <w:t>数量</w:t>
            </w:r>
          </w:p>
        </w:tc>
        <w:tc>
          <w:tcPr>
            <w:tcW w:w="733" w:type="pct"/>
            <w:noWrap w:val="0"/>
            <w:vAlign w:val="center"/>
          </w:tcPr>
          <w:p w14:paraId="4B62F868">
            <w:pPr>
              <w:spacing w:line="400" w:lineRule="exact"/>
              <w:jc w:val="center"/>
              <w:rPr>
                <w:rFonts w:ascii="楷体" w:hAnsi="楷体" w:eastAsia="楷体"/>
                <w:color w:val="000000"/>
                <w:szCs w:val="28"/>
              </w:rPr>
            </w:pPr>
            <w:r>
              <w:rPr>
                <w:rFonts w:hint="eastAsia" w:ascii="楷体" w:hAnsi="楷体" w:eastAsia="楷体"/>
                <w:color w:val="000000"/>
                <w:szCs w:val="28"/>
              </w:rPr>
              <w:t>单价</w:t>
            </w:r>
          </w:p>
          <w:p w14:paraId="4C9281C8">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c>
          <w:tcPr>
            <w:tcW w:w="999" w:type="pct"/>
            <w:noWrap w:val="0"/>
            <w:vAlign w:val="center"/>
          </w:tcPr>
          <w:p w14:paraId="34611C22">
            <w:pPr>
              <w:spacing w:line="400" w:lineRule="exact"/>
              <w:jc w:val="center"/>
              <w:rPr>
                <w:rFonts w:ascii="楷体" w:hAnsi="楷体" w:eastAsia="楷体"/>
                <w:color w:val="000000"/>
                <w:szCs w:val="28"/>
              </w:rPr>
            </w:pPr>
            <w:r>
              <w:rPr>
                <w:rFonts w:hint="eastAsia" w:ascii="楷体" w:hAnsi="楷体" w:eastAsia="楷体"/>
                <w:color w:val="000000"/>
                <w:szCs w:val="28"/>
              </w:rPr>
              <w:t>合计</w:t>
            </w:r>
          </w:p>
          <w:p w14:paraId="298769B6">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rPr>
            </w:pPr>
          </w:p>
        </w:tc>
        <w:tc>
          <w:tcPr>
            <w:tcW w:w="530" w:type="pct"/>
            <w:noWrap w:val="0"/>
            <w:vAlign w:val="center"/>
          </w:tcPr>
          <w:p w14:paraId="3739F94B">
            <w:pPr>
              <w:spacing w:line="400" w:lineRule="exact"/>
              <w:jc w:val="center"/>
              <w:rPr>
                <w:rFonts w:ascii="楷体" w:hAnsi="楷体" w:eastAsia="楷体"/>
                <w:color w:val="000000"/>
                <w:szCs w:val="28"/>
              </w:rPr>
            </w:pPr>
          </w:p>
        </w:tc>
        <w:tc>
          <w:tcPr>
            <w:tcW w:w="584" w:type="pct"/>
            <w:noWrap w:val="0"/>
            <w:vAlign w:val="top"/>
          </w:tcPr>
          <w:p w14:paraId="1DACB6CF">
            <w:pPr>
              <w:spacing w:line="400" w:lineRule="exact"/>
              <w:jc w:val="center"/>
              <w:rPr>
                <w:rFonts w:ascii="楷体" w:hAnsi="楷体" w:eastAsia="楷体"/>
                <w:color w:val="000000"/>
                <w:szCs w:val="28"/>
              </w:rPr>
            </w:pPr>
          </w:p>
        </w:tc>
        <w:tc>
          <w:tcPr>
            <w:tcW w:w="463" w:type="pct"/>
            <w:noWrap w:val="0"/>
            <w:vAlign w:val="center"/>
          </w:tcPr>
          <w:p w14:paraId="6CAB861E">
            <w:pPr>
              <w:spacing w:line="400" w:lineRule="exact"/>
              <w:jc w:val="center"/>
              <w:rPr>
                <w:rFonts w:ascii="楷体" w:hAnsi="楷体" w:eastAsia="楷体"/>
                <w:color w:val="000000"/>
                <w:szCs w:val="28"/>
              </w:rPr>
            </w:pPr>
          </w:p>
        </w:tc>
        <w:tc>
          <w:tcPr>
            <w:tcW w:w="439" w:type="pct"/>
            <w:noWrap w:val="0"/>
            <w:vAlign w:val="center"/>
          </w:tcPr>
          <w:p w14:paraId="77BDE858">
            <w:pPr>
              <w:spacing w:line="400" w:lineRule="exact"/>
              <w:jc w:val="center"/>
              <w:rPr>
                <w:rFonts w:ascii="楷体" w:hAnsi="楷体" w:eastAsia="楷体"/>
                <w:color w:val="000000"/>
                <w:szCs w:val="28"/>
              </w:rPr>
            </w:pPr>
          </w:p>
        </w:tc>
        <w:tc>
          <w:tcPr>
            <w:tcW w:w="540" w:type="pct"/>
            <w:noWrap w:val="0"/>
            <w:vAlign w:val="center"/>
          </w:tcPr>
          <w:p w14:paraId="6F344FCA">
            <w:pPr>
              <w:spacing w:line="400" w:lineRule="exact"/>
              <w:jc w:val="center"/>
              <w:rPr>
                <w:rFonts w:ascii="楷体" w:hAnsi="楷体" w:eastAsia="楷体"/>
                <w:color w:val="000000"/>
                <w:szCs w:val="28"/>
              </w:rPr>
            </w:pPr>
          </w:p>
        </w:tc>
        <w:tc>
          <w:tcPr>
            <w:tcW w:w="733" w:type="pct"/>
            <w:noWrap w:val="0"/>
            <w:vAlign w:val="center"/>
          </w:tcPr>
          <w:p w14:paraId="38EDE13C">
            <w:pPr>
              <w:spacing w:line="400" w:lineRule="exact"/>
              <w:jc w:val="center"/>
              <w:rPr>
                <w:rFonts w:ascii="楷体" w:hAnsi="楷体" w:eastAsia="楷体"/>
                <w:color w:val="000000"/>
                <w:szCs w:val="28"/>
              </w:rPr>
            </w:pPr>
          </w:p>
        </w:tc>
        <w:tc>
          <w:tcPr>
            <w:tcW w:w="999" w:type="pct"/>
            <w:noWrap w:val="0"/>
            <w:vAlign w:val="center"/>
          </w:tcPr>
          <w:p w14:paraId="708CE11E">
            <w:pPr>
              <w:spacing w:line="400" w:lineRule="exact"/>
              <w:jc w:val="center"/>
              <w:rPr>
                <w:rFonts w:ascii="楷体" w:hAnsi="楷体" w:eastAsia="楷体"/>
                <w:color w:val="000000"/>
                <w:szCs w:val="28"/>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rPr>
            </w:pPr>
          </w:p>
        </w:tc>
        <w:tc>
          <w:tcPr>
            <w:tcW w:w="530" w:type="pct"/>
            <w:noWrap w:val="0"/>
            <w:vAlign w:val="center"/>
          </w:tcPr>
          <w:p w14:paraId="4B8A4AE1">
            <w:pPr>
              <w:spacing w:line="400" w:lineRule="exact"/>
              <w:jc w:val="center"/>
              <w:rPr>
                <w:rFonts w:ascii="楷体" w:hAnsi="楷体" w:eastAsia="楷体"/>
                <w:color w:val="000000"/>
                <w:szCs w:val="28"/>
              </w:rPr>
            </w:pPr>
          </w:p>
        </w:tc>
        <w:tc>
          <w:tcPr>
            <w:tcW w:w="584" w:type="pct"/>
            <w:noWrap w:val="0"/>
            <w:vAlign w:val="top"/>
          </w:tcPr>
          <w:p w14:paraId="1525C795">
            <w:pPr>
              <w:spacing w:line="400" w:lineRule="exact"/>
              <w:jc w:val="center"/>
              <w:rPr>
                <w:rFonts w:ascii="楷体" w:hAnsi="楷体" w:eastAsia="楷体"/>
                <w:color w:val="000000"/>
                <w:szCs w:val="28"/>
              </w:rPr>
            </w:pPr>
          </w:p>
        </w:tc>
        <w:tc>
          <w:tcPr>
            <w:tcW w:w="463" w:type="pct"/>
            <w:noWrap w:val="0"/>
            <w:vAlign w:val="center"/>
          </w:tcPr>
          <w:p w14:paraId="34F343ED">
            <w:pPr>
              <w:spacing w:line="400" w:lineRule="exact"/>
              <w:jc w:val="center"/>
              <w:rPr>
                <w:rFonts w:ascii="楷体" w:hAnsi="楷体" w:eastAsia="楷体"/>
                <w:color w:val="000000"/>
                <w:szCs w:val="28"/>
              </w:rPr>
            </w:pPr>
          </w:p>
        </w:tc>
        <w:tc>
          <w:tcPr>
            <w:tcW w:w="439" w:type="pct"/>
            <w:noWrap w:val="0"/>
            <w:vAlign w:val="center"/>
          </w:tcPr>
          <w:p w14:paraId="5DAFCD86">
            <w:pPr>
              <w:spacing w:line="400" w:lineRule="exact"/>
              <w:jc w:val="center"/>
              <w:rPr>
                <w:rFonts w:ascii="楷体" w:hAnsi="楷体" w:eastAsia="楷体"/>
                <w:color w:val="000000"/>
                <w:szCs w:val="28"/>
              </w:rPr>
            </w:pPr>
          </w:p>
        </w:tc>
        <w:tc>
          <w:tcPr>
            <w:tcW w:w="540" w:type="pct"/>
            <w:noWrap w:val="0"/>
            <w:vAlign w:val="center"/>
          </w:tcPr>
          <w:p w14:paraId="57FBDD41">
            <w:pPr>
              <w:spacing w:line="400" w:lineRule="exact"/>
              <w:jc w:val="center"/>
              <w:rPr>
                <w:rFonts w:ascii="楷体" w:hAnsi="楷体" w:eastAsia="楷体"/>
                <w:color w:val="000000"/>
                <w:szCs w:val="28"/>
              </w:rPr>
            </w:pPr>
          </w:p>
        </w:tc>
        <w:tc>
          <w:tcPr>
            <w:tcW w:w="733" w:type="pct"/>
            <w:noWrap w:val="0"/>
            <w:vAlign w:val="center"/>
          </w:tcPr>
          <w:p w14:paraId="1D4E97F5">
            <w:pPr>
              <w:spacing w:line="400" w:lineRule="exact"/>
              <w:jc w:val="center"/>
              <w:rPr>
                <w:rFonts w:ascii="楷体" w:hAnsi="楷体" w:eastAsia="楷体"/>
                <w:color w:val="000000"/>
                <w:szCs w:val="28"/>
              </w:rPr>
            </w:pPr>
          </w:p>
        </w:tc>
        <w:tc>
          <w:tcPr>
            <w:tcW w:w="999" w:type="pct"/>
            <w:noWrap w:val="0"/>
            <w:vAlign w:val="center"/>
          </w:tcPr>
          <w:p w14:paraId="22D0EC45">
            <w:pPr>
              <w:spacing w:line="400" w:lineRule="exact"/>
              <w:jc w:val="center"/>
              <w:rPr>
                <w:rFonts w:ascii="楷体" w:hAnsi="楷体" w:eastAsia="楷体"/>
                <w:color w:val="000000"/>
                <w:szCs w:val="28"/>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rPr>
            </w:pPr>
          </w:p>
        </w:tc>
        <w:tc>
          <w:tcPr>
            <w:tcW w:w="530" w:type="pct"/>
            <w:noWrap w:val="0"/>
            <w:vAlign w:val="center"/>
          </w:tcPr>
          <w:p w14:paraId="7EBF2AE0">
            <w:pPr>
              <w:spacing w:line="400" w:lineRule="exact"/>
              <w:jc w:val="center"/>
              <w:rPr>
                <w:rFonts w:ascii="楷体" w:hAnsi="楷体" w:eastAsia="楷体"/>
                <w:color w:val="000000"/>
                <w:szCs w:val="28"/>
              </w:rPr>
            </w:pPr>
          </w:p>
        </w:tc>
        <w:tc>
          <w:tcPr>
            <w:tcW w:w="584" w:type="pct"/>
            <w:noWrap w:val="0"/>
            <w:vAlign w:val="top"/>
          </w:tcPr>
          <w:p w14:paraId="237CC162">
            <w:pPr>
              <w:spacing w:line="400" w:lineRule="exact"/>
              <w:jc w:val="center"/>
              <w:rPr>
                <w:rFonts w:ascii="楷体" w:hAnsi="楷体" w:eastAsia="楷体"/>
                <w:color w:val="000000"/>
                <w:szCs w:val="28"/>
              </w:rPr>
            </w:pPr>
          </w:p>
        </w:tc>
        <w:tc>
          <w:tcPr>
            <w:tcW w:w="463" w:type="pct"/>
            <w:noWrap w:val="0"/>
            <w:vAlign w:val="center"/>
          </w:tcPr>
          <w:p w14:paraId="687ADA45">
            <w:pPr>
              <w:spacing w:line="400" w:lineRule="exact"/>
              <w:jc w:val="center"/>
              <w:rPr>
                <w:rFonts w:ascii="楷体" w:hAnsi="楷体" w:eastAsia="楷体"/>
                <w:color w:val="000000"/>
                <w:szCs w:val="28"/>
              </w:rPr>
            </w:pPr>
          </w:p>
        </w:tc>
        <w:tc>
          <w:tcPr>
            <w:tcW w:w="439" w:type="pct"/>
            <w:noWrap w:val="0"/>
            <w:vAlign w:val="center"/>
          </w:tcPr>
          <w:p w14:paraId="311C2246">
            <w:pPr>
              <w:spacing w:line="400" w:lineRule="exact"/>
              <w:jc w:val="center"/>
              <w:rPr>
                <w:rFonts w:ascii="楷体" w:hAnsi="楷体" w:eastAsia="楷体"/>
                <w:color w:val="000000"/>
                <w:szCs w:val="28"/>
              </w:rPr>
            </w:pPr>
          </w:p>
        </w:tc>
        <w:tc>
          <w:tcPr>
            <w:tcW w:w="540" w:type="pct"/>
            <w:noWrap w:val="0"/>
            <w:vAlign w:val="center"/>
          </w:tcPr>
          <w:p w14:paraId="51762238">
            <w:pPr>
              <w:spacing w:line="400" w:lineRule="exact"/>
              <w:jc w:val="center"/>
              <w:rPr>
                <w:rFonts w:ascii="楷体" w:hAnsi="楷体" w:eastAsia="楷体"/>
                <w:color w:val="000000"/>
                <w:szCs w:val="28"/>
              </w:rPr>
            </w:pPr>
          </w:p>
        </w:tc>
        <w:tc>
          <w:tcPr>
            <w:tcW w:w="733" w:type="pct"/>
            <w:noWrap w:val="0"/>
            <w:vAlign w:val="center"/>
          </w:tcPr>
          <w:p w14:paraId="076A43B4">
            <w:pPr>
              <w:spacing w:line="400" w:lineRule="exact"/>
              <w:jc w:val="center"/>
              <w:rPr>
                <w:rFonts w:ascii="楷体" w:hAnsi="楷体" w:eastAsia="楷体"/>
                <w:color w:val="000000"/>
                <w:szCs w:val="28"/>
              </w:rPr>
            </w:pPr>
          </w:p>
        </w:tc>
        <w:tc>
          <w:tcPr>
            <w:tcW w:w="999" w:type="pct"/>
            <w:noWrap w:val="0"/>
            <w:vAlign w:val="center"/>
          </w:tcPr>
          <w:p w14:paraId="73CAD5F3">
            <w:pPr>
              <w:spacing w:line="400" w:lineRule="exact"/>
              <w:jc w:val="center"/>
              <w:rPr>
                <w:rFonts w:ascii="楷体" w:hAnsi="楷体" w:eastAsia="楷体"/>
                <w:color w:val="000000"/>
                <w:szCs w:val="28"/>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rPr>
            </w:pPr>
          </w:p>
        </w:tc>
        <w:tc>
          <w:tcPr>
            <w:tcW w:w="530" w:type="pct"/>
            <w:noWrap w:val="0"/>
            <w:vAlign w:val="center"/>
          </w:tcPr>
          <w:p w14:paraId="1F4456AD">
            <w:pPr>
              <w:spacing w:line="400" w:lineRule="exact"/>
              <w:jc w:val="center"/>
              <w:rPr>
                <w:rFonts w:ascii="楷体" w:hAnsi="楷体" w:eastAsia="楷体"/>
                <w:color w:val="000000"/>
                <w:szCs w:val="28"/>
              </w:rPr>
            </w:pPr>
          </w:p>
        </w:tc>
        <w:tc>
          <w:tcPr>
            <w:tcW w:w="584" w:type="pct"/>
            <w:noWrap w:val="0"/>
            <w:vAlign w:val="top"/>
          </w:tcPr>
          <w:p w14:paraId="124998BF">
            <w:pPr>
              <w:spacing w:line="400" w:lineRule="exact"/>
              <w:jc w:val="center"/>
              <w:rPr>
                <w:rFonts w:ascii="楷体" w:hAnsi="楷体" w:eastAsia="楷体"/>
                <w:color w:val="000000"/>
                <w:szCs w:val="28"/>
              </w:rPr>
            </w:pPr>
          </w:p>
        </w:tc>
        <w:tc>
          <w:tcPr>
            <w:tcW w:w="463" w:type="pct"/>
            <w:noWrap w:val="0"/>
            <w:vAlign w:val="center"/>
          </w:tcPr>
          <w:p w14:paraId="2C612D08">
            <w:pPr>
              <w:spacing w:line="400" w:lineRule="exact"/>
              <w:jc w:val="center"/>
              <w:rPr>
                <w:rFonts w:ascii="楷体" w:hAnsi="楷体" w:eastAsia="楷体"/>
                <w:color w:val="000000"/>
                <w:szCs w:val="28"/>
              </w:rPr>
            </w:pPr>
          </w:p>
        </w:tc>
        <w:tc>
          <w:tcPr>
            <w:tcW w:w="439" w:type="pct"/>
            <w:noWrap w:val="0"/>
            <w:vAlign w:val="center"/>
          </w:tcPr>
          <w:p w14:paraId="6E7E5ACF">
            <w:pPr>
              <w:spacing w:line="400" w:lineRule="exact"/>
              <w:jc w:val="center"/>
              <w:rPr>
                <w:rFonts w:ascii="楷体" w:hAnsi="楷体" w:eastAsia="楷体"/>
                <w:color w:val="000000"/>
                <w:szCs w:val="28"/>
              </w:rPr>
            </w:pPr>
          </w:p>
        </w:tc>
        <w:tc>
          <w:tcPr>
            <w:tcW w:w="540" w:type="pct"/>
            <w:noWrap w:val="0"/>
            <w:vAlign w:val="center"/>
          </w:tcPr>
          <w:p w14:paraId="59DF4968">
            <w:pPr>
              <w:spacing w:line="400" w:lineRule="exact"/>
              <w:jc w:val="center"/>
              <w:rPr>
                <w:rFonts w:ascii="楷体" w:hAnsi="楷体" w:eastAsia="楷体"/>
                <w:color w:val="000000"/>
                <w:szCs w:val="28"/>
              </w:rPr>
            </w:pPr>
          </w:p>
        </w:tc>
        <w:tc>
          <w:tcPr>
            <w:tcW w:w="733" w:type="pct"/>
            <w:noWrap w:val="0"/>
            <w:vAlign w:val="center"/>
          </w:tcPr>
          <w:p w14:paraId="25AF796F">
            <w:pPr>
              <w:spacing w:line="400" w:lineRule="exact"/>
              <w:jc w:val="center"/>
              <w:rPr>
                <w:rFonts w:ascii="楷体" w:hAnsi="楷体" w:eastAsia="楷体"/>
                <w:color w:val="000000"/>
                <w:szCs w:val="28"/>
              </w:rPr>
            </w:pPr>
          </w:p>
        </w:tc>
        <w:tc>
          <w:tcPr>
            <w:tcW w:w="999" w:type="pct"/>
            <w:noWrap w:val="0"/>
            <w:vAlign w:val="center"/>
          </w:tcPr>
          <w:p w14:paraId="55B43479">
            <w:pPr>
              <w:spacing w:line="400" w:lineRule="exact"/>
              <w:jc w:val="center"/>
              <w:rPr>
                <w:rFonts w:ascii="楷体" w:hAnsi="楷体" w:eastAsia="楷体"/>
                <w:color w:val="000000"/>
                <w:szCs w:val="28"/>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rPr>
            </w:pPr>
          </w:p>
        </w:tc>
        <w:tc>
          <w:tcPr>
            <w:tcW w:w="530" w:type="pct"/>
            <w:noWrap w:val="0"/>
            <w:vAlign w:val="center"/>
          </w:tcPr>
          <w:p w14:paraId="4E03D92D">
            <w:pPr>
              <w:spacing w:line="400" w:lineRule="exact"/>
              <w:jc w:val="center"/>
              <w:rPr>
                <w:rFonts w:ascii="楷体" w:hAnsi="楷体" w:eastAsia="楷体"/>
                <w:color w:val="000000"/>
                <w:szCs w:val="28"/>
              </w:rPr>
            </w:pPr>
          </w:p>
        </w:tc>
        <w:tc>
          <w:tcPr>
            <w:tcW w:w="584" w:type="pct"/>
            <w:noWrap w:val="0"/>
            <w:vAlign w:val="top"/>
          </w:tcPr>
          <w:p w14:paraId="203CC23A">
            <w:pPr>
              <w:spacing w:line="400" w:lineRule="exact"/>
              <w:jc w:val="center"/>
              <w:rPr>
                <w:rFonts w:ascii="楷体" w:hAnsi="楷体" w:eastAsia="楷体"/>
                <w:color w:val="000000"/>
                <w:szCs w:val="28"/>
              </w:rPr>
            </w:pPr>
          </w:p>
        </w:tc>
        <w:tc>
          <w:tcPr>
            <w:tcW w:w="463" w:type="pct"/>
            <w:noWrap w:val="0"/>
            <w:vAlign w:val="center"/>
          </w:tcPr>
          <w:p w14:paraId="2F1D7105">
            <w:pPr>
              <w:spacing w:line="400" w:lineRule="exact"/>
              <w:jc w:val="center"/>
              <w:rPr>
                <w:rFonts w:ascii="楷体" w:hAnsi="楷体" w:eastAsia="楷体"/>
                <w:color w:val="000000"/>
                <w:szCs w:val="28"/>
              </w:rPr>
            </w:pPr>
          </w:p>
        </w:tc>
        <w:tc>
          <w:tcPr>
            <w:tcW w:w="439" w:type="pct"/>
            <w:noWrap w:val="0"/>
            <w:vAlign w:val="center"/>
          </w:tcPr>
          <w:p w14:paraId="2BF590FB">
            <w:pPr>
              <w:spacing w:line="400" w:lineRule="exact"/>
              <w:jc w:val="center"/>
              <w:rPr>
                <w:rFonts w:ascii="楷体" w:hAnsi="楷体" w:eastAsia="楷体"/>
                <w:color w:val="000000"/>
                <w:szCs w:val="28"/>
              </w:rPr>
            </w:pPr>
          </w:p>
        </w:tc>
        <w:tc>
          <w:tcPr>
            <w:tcW w:w="540" w:type="pct"/>
            <w:noWrap w:val="0"/>
            <w:vAlign w:val="center"/>
          </w:tcPr>
          <w:p w14:paraId="76590410">
            <w:pPr>
              <w:spacing w:line="400" w:lineRule="exact"/>
              <w:jc w:val="center"/>
              <w:rPr>
                <w:rFonts w:ascii="楷体" w:hAnsi="楷体" w:eastAsia="楷体"/>
                <w:color w:val="000000"/>
                <w:szCs w:val="28"/>
              </w:rPr>
            </w:pPr>
          </w:p>
        </w:tc>
        <w:tc>
          <w:tcPr>
            <w:tcW w:w="733" w:type="pct"/>
            <w:noWrap w:val="0"/>
            <w:vAlign w:val="center"/>
          </w:tcPr>
          <w:p w14:paraId="6B1A8DF5">
            <w:pPr>
              <w:spacing w:line="400" w:lineRule="exact"/>
              <w:jc w:val="center"/>
              <w:rPr>
                <w:rFonts w:ascii="楷体" w:hAnsi="楷体" w:eastAsia="楷体"/>
                <w:color w:val="000000"/>
                <w:szCs w:val="28"/>
              </w:rPr>
            </w:pPr>
          </w:p>
        </w:tc>
        <w:tc>
          <w:tcPr>
            <w:tcW w:w="999" w:type="pct"/>
            <w:noWrap w:val="0"/>
            <w:vAlign w:val="center"/>
          </w:tcPr>
          <w:p w14:paraId="1CB30532">
            <w:pPr>
              <w:spacing w:line="400" w:lineRule="exact"/>
              <w:jc w:val="center"/>
              <w:rPr>
                <w:rFonts w:ascii="楷体" w:hAnsi="楷体" w:eastAsia="楷体"/>
                <w:color w:val="000000"/>
                <w:szCs w:val="28"/>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rPr>
            </w:pPr>
          </w:p>
        </w:tc>
        <w:tc>
          <w:tcPr>
            <w:tcW w:w="530" w:type="pct"/>
            <w:noWrap w:val="0"/>
            <w:vAlign w:val="center"/>
          </w:tcPr>
          <w:p w14:paraId="43BF5D77">
            <w:pPr>
              <w:spacing w:line="400" w:lineRule="exact"/>
              <w:rPr>
                <w:rFonts w:ascii="楷体" w:hAnsi="楷体" w:eastAsia="楷体"/>
                <w:color w:val="000000"/>
                <w:szCs w:val="28"/>
              </w:rPr>
            </w:pPr>
          </w:p>
        </w:tc>
        <w:tc>
          <w:tcPr>
            <w:tcW w:w="584" w:type="pct"/>
            <w:noWrap w:val="0"/>
            <w:vAlign w:val="top"/>
          </w:tcPr>
          <w:p w14:paraId="411387CF">
            <w:pPr>
              <w:spacing w:line="400" w:lineRule="exact"/>
              <w:rPr>
                <w:rFonts w:ascii="楷体" w:hAnsi="楷体" w:eastAsia="楷体"/>
                <w:color w:val="000000"/>
                <w:szCs w:val="28"/>
              </w:rPr>
            </w:pPr>
          </w:p>
        </w:tc>
        <w:tc>
          <w:tcPr>
            <w:tcW w:w="463" w:type="pct"/>
            <w:noWrap w:val="0"/>
            <w:vAlign w:val="center"/>
          </w:tcPr>
          <w:p w14:paraId="35C5E47F">
            <w:pPr>
              <w:spacing w:line="400" w:lineRule="exact"/>
              <w:rPr>
                <w:rFonts w:ascii="楷体" w:hAnsi="楷体" w:eastAsia="楷体"/>
                <w:color w:val="000000"/>
                <w:szCs w:val="28"/>
              </w:rPr>
            </w:pPr>
          </w:p>
        </w:tc>
        <w:tc>
          <w:tcPr>
            <w:tcW w:w="439" w:type="pct"/>
            <w:noWrap w:val="0"/>
            <w:vAlign w:val="center"/>
          </w:tcPr>
          <w:p w14:paraId="040780A1">
            <w:pPr>
              <w:spacing w:line="400" w:lineRule="exact"/>
              <w:rPr>
                <w:rFonts w:ascii="楷体" w:hAnsi="楷体" w:eastAsia="楷体"/>
                <w:color w:val="000000"/>
                <w:szCs w:val="28"/>
              </w:rPr>
            </w:pPr>
          </w:p>
        </w:tc>
        <w:tc>
          <w:tcPr>
            <w:tcW w:w="540" w:type="pct"/>
            <w:noWrap w:val="0"/>
            <w:vAlign w:val="center"/>
          </w:tcPr>
          <w:p w14:paraId="2EF42120">
            <w:pPr>
              <w:spacing w:line="400" w:lineRule="exact"/>
              <w:rPr>
                <w:rFonts w:ascii="楷体" w:hAnsi="楷体" w:eastAsia="楷体"/>
                <w:color w:val="000000"/>
                <w:szCs w:val="28"/>
              </w:rPr>
            </w:pPr>
          </w:p>
        </w:tc>
        <w:tc>
          <w:tcPr>
            <w:tcW w:w="733" w:type="pct"/>
            <w:noWrap w:val="0"/>
            <w:vAlign w:val="center"/>
          </w:tcPr>
          <w:p w14:paraId="58D9FEB7">
            <w:pPr>
              <w:spacing w:line="400" w:lineRule="exact"/>
              <w:rPr>
                <w:rFonts w:ascii="楷体" w:hAnsi="楷体" w:eastAsia="楷体"/>
                <w:color w:val="000000"/>
                <w:szCs w:val="28"/>
              </w:rPr>
            </w:pPr>
          </w:p>
        </w:tc>
        <w:tc>
          <w:tcPr>
            <w:tcW w:w="999" w:type="pct"/>
            <w:noWrap w:val="0"/>
            <w:vAlign w:val="center"/>
          </w:tcPr>
          <w:p w14:paraId="476B7D25">
            <w:pPr>
              <w:spacing w:line="400" w:lineRule="exact"/>
              <w:rPr>
                <w:rFonts w:ascii="楷体" w:hAnsi="楷体" w:eastAsia="楷体"/>
                <w:color w:val="000000"/>
                <w:szCs w:val="28"/>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rPr>
            </w:pPr>
          </w:p>
        </w:tc>
        <w:tc>
          <w:tcPr>
            <w:tcW w:w="4290" w:type="pct"/>
            <w:gridSpan w:val="7"/>
            <w:noWrap w:val="0"/>
            <w:vAlign w:val="center"/>
          </w:tcPr>
          <w:p w14:paraId="17F982F0">
            <w:pPr>
              <w:spacing w:line="400" w:lineRule="exact"/>
              <w:rPr>
                <w:rFonts w:ascii="楷体" w:hAnsi="楷体" w:eastAsia="楷体"/>
                <w:color w:val="000000"/>
                <w:szCs w:val="28"/>
              </w:rPr>
            </w:pPr>
            <w:r>
              <w:rPr>
                <w:rFonts w:hint="eastAsia" w:ascii="楷体" w:hAnsi="楷体" w:eastAsia="楷体"/>
                <w:color w:val="000000"/>
                <w:szCs w:val="28"/>
              </w:rPr>
              <w:t>供货周期（天）：        保修期（年） ：</w:t>
            </w:r>
            <w:r>
              <w:rPr>
                <w:rFonts w:hint="eastAsia" w:ascii="楷体" w:hAnsi="楷体" w:eastAsia="楷体"/>
                <w:color w:val="000000"/>
                <w:szCs w:val="28"/>
                <w:lang w:eastAsia="zh-CN"/>
              </w:rPr>
              <w:t>（</w:t>
            </w:r>
            <w:r>
              <w:rPr>
                <w:rFonts w:hint="eastAsia" w:ascii="楷体" w:hAnsi="楷体" w:eastAsia="楷体"/>
                <w:color w:val="000000"/>
                <w:szCs w:val="28"/>
                <w:lang w:val="en-US" w:eastAsia="zh-CN"/>
              </w:rPr>
              <w:t>整机/主机</w:t>
            </w:r>
            <w:r>
              <w:rPr>
                <w:rFonts w:hint="eastAsia" w:ascii="楷体" w:hAnsi="楷体" w:eastAsia="楷体"/>
                <w:color w:val="000000"/>
                <w:szCs w:val="28"/>
                <w:lang w:eastAsia="zh-CN"/>
              </w:rPr>
              <w:t>）</w:t>
            </w:r>
            <w:r>
              <w:rPr>
                <w:rFonts w:hint="eastAsia" w:ascii="楷体" w:hAnsi="楷体" w:eastAsia="楷体"/>
                <w:color w:val="000000"/>
                <w:szCs w:val="28"/>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rPr>
            </w:pPr>
          </w:p>
        </w:tc>
        <w:tc>
          <w:tcPr>
            <w:tcW w:w="4290" w:type="pct"/>
            <w:gridSpan w:val="7"/>
            <w:noWrap w:val="0"/>
            <w:vAlign w:val="center"/>
          </w:tcPr>
          <w:p w14:paraId="58027C5E">
            <w:pPr>
              <w:spacing w:line="400" w:lineRule="exact"/>
              <w:rPr>
                <w:rFonts w:ascii="楷体" w:hAnsi="楷体" w:eastAsia="楷体"/>
                <w:color w:val="000000"/>
                <w:szCs w:val="28"/>
              </w:rPr>
            </w:pPr>
            <w:r>
              <w:rPr>
                <w:rFonts w:hint="eastAsia" w:ascii="楷体" w:hAnsi="楷体" w:eastAsia="楷体"/>
                <w:color w:val="000000"/>
                <w:szCs w:val="28"/>
              </w:rPr>
              <w:t>总价（万元）：</w:t>
            </w:r>
          </w:p>
        </w:tc>
      </w:tr>
    </w:tbl>
    <w:p w14:paraId="3D843613">
      <w:pPr>
        <w:pStyle w:val="5"/>
        <w:rPr>
          <w:rFonts w:hint="eastAsia"/>
          <w:color w:val="000000"/>
        </w:rPr>
      </w:pPr>
    </w:p>
    <w:p w14:paraId="3D7DE914">
      <w:pPr>
        <w:rPr>
          <w:rFonts w:hint="eastAsia"/>
          <w:color w:val="000000"/>
        </w:rPr>
      </w:pPr>
    </w:p>
    <w:p w14:paraId="1E8DCCFA">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7021FB61">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180B88E6">
      <w:pPr>
        <w:spacing w:line="500" w:lineRule="exact"/>
        <w:rPr>
          <w:rFonts w:hint="eastAsia" w:ascii="宋体" w:hAnsi="宋体" w:cs="宋体"/>
          <w:color w:val="000000"/>
          <w:sz w:val="24"/>
          <w:szCs w:val="28"/>
        </w:rPr>
      </w:pPr>
    </w:p>
    <w:p w14:paraId="5002A4EE">
      <w:pPr>
        <w:spacing w:line="500" w:lineRule="exact"/>
        <w:rPr>
          <w:rFonts w:hint="eastAsia" w:ascii="宋体" w:hAnsi="宋体" w:cs="宋体"/>
          <w:color w:val="000000"/>
          <w:sz w:val="24"/>
          <w:szCs w:val="28"/>
        </w:rPr>
      </w:pPr>
    </w:p>
    <w:p w14:paraId="3FBF7316">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年     月     日</w:t>
      </w:r>
    </w:p>
    <w:p w14:paraId="7C04E05A">
      <w:pPr>
        <w:snapToGrid w:val="0"/>
        <w:spacing w:line="500" w:lineRule="exact"/>
        <w:ind w:firstLine="480" w:firstLineChars="200"/>
        <w:rPr>
          <w:rFonts w:hint="eastAsia" w:ascii="宋体" w:hAnsi="宋体" w:cs="宋体"/>
          <w:color w:val="000000"/>
          <w:sz w:val="24"/>
          <w:szCs w:val="28"/>
        </w:rPr>
      </w:pPr>
    </w:p>
    <w:p w14:paraId="7D1B28CD">
      <w:pPr>
        <w:snapToGrid w:val="0"/>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说明：1.报价一览表按格式填列；务必填写清楚，准确无误。</w:t>
      </w:r>
    </w:p>
    <w:p w14:paraId="6E218531">
      <w:pPr>
        <w:pStyle w:val="2"/>
        <w:ind w:left="1190" w:leftChars="425" w:firstLine="0" w:firstLineChars="0"/>
        <w:rPr>
          <w:rFonts w:hint="eastAsia" w:ascii="宋体" w:hAnsi="宋体" w:eastAsia="宋体" w:cs="宋体"/>
          <w:color w:val="000000"/>
          <w:sz w:val="24"/>
          <w:szCs w:val="28"/>
        </w:rPr>
      </w:pPr>
      <w:r>
        <w:rPr>
          <w:rFonts w:hint="eastAsia" w:ascii="宋体" w:hAnsi="宋体" w:eastAsia="宋体" w:cs="宋体"/>
          <w:color w:val="000000"/>
          <w:sz w:val="24"/>
          <w:szCs w:val="28"/>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lang w:val="en-US"/>
        </w:rPr>
      </w:pPr>
      <w:r>
        <w:rPr>
          <w:rFonts w:hint="eastAsia" w:ascii="宋体" w:hAnsi="宋体" w:eastAsia="宋体" w:cs="宋体"/>
          <w:color w:val="000000"/>
          <w:sz w:val="24"/>
          <w:szCs w:val="28"/>
        </w:rPr>
        <w:br w:type="page"/>
      </w:r>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三</w:t>
      </w:r>
      <w:r>
        <w:rPr>
          <w:rFonts w:hint="eastAsia" w:ascii="宋体" w:hAnsi="宋体" w:eastAsia="宋体" w:cs="宋体"/>
          <w:kern w:val="2"/>
          <w:sz w:val="24"/>
          <w:szCs w:val="24"/>
          <w:lang w:val="en-US" w:eastAsia="zh-CN" w:bidi="ar-SA"/>
        </w:rPr>
        <w:t>）</w:t>
      </w:r>
      <w:bookmarkStart w:id="175" w:name="OLE_LINK17"/>
      <w:r>
        <w:rPr>
          <w:rFonts w:hint="eastAsia" w:ascii="宋体" w:hAnsi="宋体" w:eastAsia="宋体" w:cs="宋体"/>
          <w:kern w:val="2"/>
          <w:sz w:val="24"/>
          <w:szCs w:val="24"/>
          <w:lang w:val="en-US" w:eastAsia="zh-CN" w:bidi="ar-SA"/>
        </w:rPr>
        <w:t>耗材专用设备零配件报价表</w:t>
      </w:r>
      <w:bookmarkEnd w:id="175"/>
      <w:r>
        <w:rPr>
          <w:rFonts w:hint="eastAsia" w:eastAsia="宋体" w:cs="宋体"/>
          <w:kern w:val="2"/>
          <w:sz w:val="24"/>
          <w:szCs w:val="24"/>
          <w:lang w:val="en-US" w:eastAsia="zh-CN" w:bidi="ar-SA"/>
        </w:rPr>
        <w:t>(如有)</w:t>
      </w:r>
    </w:p>
    <w:p w14:paraId="5D7CBF43">
      <w:pPr>
        <w:pStyle w:val="2"/>
        <w:rPr>
          <w:rFonts w:hint="eastAsia" w:ascii="宋体" w:hAnsi="宋体" w:eastAsia="宋体" w:cs="宋体"/>
          <w:kern w:val="2"/>
          <w:sz w:val="24"/>
          <w:szCs w:val="24"/>
          <w:lang w:val="en-US" w:eastAsia="zh-CN" w:bidi="ar-SA"/>
        </w:rPr>
      </w:pPr>
    </w:p>
    <w:p w14:paraId="444CD773">
      <w:pPr>
        <w:pStyle w:val="3"/>
        <w:rPr>
          <w:rFonts w:hint="eastAsia"/>
          <w:i w:val="0"/>
          <w:iCs/>
        </w:rPr>
      </w:pPr>
      <w:r>
        <w:rPr>
          <w:rFonts w:hint="eastAsia" w:ascii="宋体" w:hAnsi="宋体" w:cs="宋体"/>
          <w:b/>
          <w:bCs/>
          <w:i w:val="0"/>
          <w:iCs/>
          <w:color w:val="000000"/>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rPr>
            </w:pPr>
          </w:p>
        </w:tc>
        <w:tc>
          <w:tcPr>
            <w:tcW w:w="965" w:type="pct"/>
            <w:noWrap w:val="0"/>
            <w:vAlign w:val="center"/>
          </w:tcPr>
          <w:p w14:paraId="021F524D">
            <w:pPr>
              <w:pStyle w:val="31"/>
              <w:jc w:val="center"/>
              <w:rPr>
                <w:rFonts w:ascii="Arial" w:hAnsi="Arial" w:eastAsia="仿宋_GB2312" w:cs="Arial"/>
                <w:color w:val="000000"/>
              </w:rPr>
            </w:pPr>
          </w:p>
        </w:tc>
        <w:tc>
          <w:tcPr>
            <w:tcW w:w="609" w:type="pct"/>
            <w:noWrap w:val="0"/>
            <w:vAlign w:val="center"/>
          </w:tcPr>
          <w:p w14:paraId="2EC7062B">
            <w:pPr>
              <w:pStyle w:val="31"/>
              <w:jc w:val="center"/>
              <w:rPr>
                <w:rFonts w:ascii="Arial" w:hAnsi="Arial" w:eastAsia="仿宋_GB2312" w:cs="Arial"/>
                <w:color w:val="000000"/>
              </w:rPr>
            </w:pPr>
          </w:p>
        </w:tc>
        <w:tc>
          <w:tcPr>
            <w:tcW w:w="874" w:type="pct"/>
            <w:noWrap w:val="0"/>
            <w:vAlign w:val="top"/>
          </w:tcPr>
          <w:p w14:paraId="762EC882">
            <w:pPr>
              <w:rPr>
                <w:color w:val="000000"/>
              </w:rPr>
            </w:pPr>
          </w:p>
        </w:tc>
        <w:tc>
          <w:tcPr>
            <w:tcW w:w="443" w:type="pct"/>
            <w:noWrap w:val="0"/>
            <w:vAlign w:val="center"/>
          </w:tcPr>
          <w:p w14:paraId="7B3E54FF">
            <w:pPr>
              <w:pStyle w:val="31"/>
              <w:jc w:val="center"/>
              <w:rPr>
                <w:rFonts w:ascii="Arial" w:hAnsi="Arial" w:eastAsia="仿宋_GB2312" w:cs="Arial"/>
                <w:color w:val="000000"/>
              </w:rPr>
            </w:pPr>
          </w:p>
        </w:tc>
        <w:tc>
          <w:tcPr>
            <w:tcW w:w="652" w:type="pct"/>
            <w:noWrap w:val="0"/>
            <w:vAlign w:val="center"/>
          </w:tcPr>
          <w:p w14:paraId="054802A1">
            <w:pPr>
              <w:pStyle w:val="31"/>
              <w:jc w:val="center"/>
              <w:rPr>
                <w:rFonts w:ascii="Arial" w:hAnsi="Arial" w:eastAsia="仿宋_GB2312" w:cs="Arial"/>
                <w:color w:val="000000"/>
              </w:rPr>
            </w:pPr>
          </w:p>
        </w:tc>
        <w:tc>
          <w:tcPr>
            <w:tcW w:w="579" w:type="pct"/>
            <w:noWrap w:val="0"/>
            <w:vAlign w:val="center"/>
          </w:tcPr>
          <w:p w14:paraId="07C83FF6">
            <w:pPr>
              <w:pStyle w:val="31"/>
              <w:jc w:val="center"/>
              <w:rPr>
                <w:rFonts w:ascii="Arial" w:hAnsi="Arial" w:eastAsia="仿宋_GB2312" w:cs="Arial"/>
                <w:color w:val="000000"/>
              </w:rPr>
            </w:pPr>
          </w:p>
        </w:tc>
        <w:tc>
          <w:tcPr>
            <w:tcW w:w="579" w:type="pct"/>
            <w:noWrap w:val="0"/>
            <w:vAlign w:val="center"/>
          </w:tcPr>
          <w:p w14:paraId="63C83468">
            <w:pPr>
              <w:pStyle w:val="31"/>
              <w:jc w:val="center"/>
              <w:rPr>
                <w:rFonts w:ascii="Arial" w:hAnsi="Arial" w:eastAsia="仿宋_GB2312" w:cs="Arial"/>
                <w:color w:val="000000"/>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rPr>
            </w:pPr>
          </w:p>
        </w:tc>
        <w:tc>
          <w:tcPr>
            <w:tcW w:w="965" w:type="pct"/>
            <w:noWrap w:val="0"/>
            <w:vAlign w:val="center"/>
          </w:tcPr>
          <w:p w14:paraId="6617C985">
            <w:pPr>
              <w:pStyle w:val="31"/>
              <w:jc w:val="center"/>
              <w:rPr>
                <w:rFonts w:ascii="Arial" w:hAnsi="Arial" w:eastAsia="仿宋_GB2312" w:cs="Arial"/>
                <w:color w:val="000000"/>
              </w:rPr>
            </w:pPr>
          </w:p>
        </w:tc>
        <w:tc>
          <w:tcPr>
            <w:tcW w:w="609" w:type="pct"/>
            <w:noWrap w:val="0"/>
            <w:vAlign w:val="center"/>
          </w:tcPr>
          <w:p w14:paraId="14345953">
            <w:pPr>
              <w:pStyle w:val="31"/>
              <w:jc w:val="center"/>
              <w:rPr>
                <w:rFonts w:ascii="Arial" w:hAnsi="Arial" w:eastAsia="仿宋_GB2312" w:cs="Arial"/>
                <w:color w:val="000000"/>
              </w:rPr>
            </w:pPr>
          </w:p>
        </w:tc>
        <w:tc>
          <w:tcPr>
            <w:tcW w:w="874" w:type="pct"/>
            <w:noWrap w:val="0"/>
            <w:vAlign w:val="top"/>
          </w:tcPr>
          <w:p w14:paraId="7B8FE18E">
            <w:pPr>
              <w:rPr>
                <w:color w:val="000000"/>
              </w:rPr>
            </w:pPr>
          </w:p>
        </w:tc>
        <w:tc>
          <w:tcPr>
            <w:tcW w:w="443" w:type="pct"/>
            <w:noWrap w:val="0"/>
            <w:vAlign w:val="center"/>
          </w:tcPr>
          <w:p w14:paraId="579E19ED">
            <w:pPr>
              <w:pStyle w:val="31"/>
              <w:jc w:val="center"/>
              <w:rPr>
                <w:rFonts w:ascii="Arial" w:hAnsi="Arial" w:eastAsia="仿宋_GB2312" w:cs="Arial"/>
                <w:color w:val="000000"/>
              </w:rPr>
            </w:pPr>
          </w:p>
        </w:tc>
        <w:tc>
          <w:tcPr>
            <w:tcW w:w="652" w:type="pct"/>
            <w:noWrap w:val="0"/>
            <w:vAlign w:val="center"/>
          </w:tcPr>
          <w:p w14:paraId="0FEB62DF">
            <w:pPr>
              <w:pStyle w:val="31"/>
              <w:jc w:val="center"/>
              <w:rPr>
                <w:rFonts w:ascii="Arial" w:hAnsi="Arial" w:eastAsia="仿宋_GB2312" w:cs="Arial"/>
                <w:color w:val="000000"/>
              </w:rPr>
            </w:pPr>
          </w:p>
        </w:tc>
        <w:tc>
          <w:tcPr>
            <w:tcW w:w="579" w:type="pct"/>
            <w:noWrap w:val="0"/>
            <w:vAlign w:val="center"/>
          </w:tcPr>
          <w:p w14:paraId="46292D6F">
            <w:pPr>
              <w:pStyle w:val="31"/>
              <w:jc w:val="center"/>
              <w:rPr>
                <w:rFonts w:ascii="Arial" w:hAnsi="Arial" w:eastAsia="仿宋_GB2312" w:cs="Arial"/>
                <w:color w:val="000000"/>
              </w:rPr>
            </w:pPr>
          </w:p>
        </w:tc>
        <w:tc>
          <w:tcPr>
            <w:tcW w:w="579" w:type="pct"/>
            <w:noWrap w:val="0"/>
            <w:vAlign w:val="center"/>
          </w:tcPr>
          <w:p w14:paraId="6AD988E2">
            <w:pPr>
              <w:pStyle w:val="31"/>
              <w:jc w:val="center"/>
              <w:rPr>
                <w:rFonts w:ascii="Arial" w:hAnsi="Arial" w:eastAsia="仿宋_GB2312" w:cs="Arial"/>
                <w:color w:val="000000"/>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rPr>
            </w:pPr>
          </w:p>
        </w:tc>
        <w:tc>
          <w:tcPr>
            <w:tcW w:w="965" w:type="pct"/>
            <w:noWrap w:val="0"/>
            <w:vAlign w:val="center"/>
          </w:tcPr>
          <w:p w14:paraId="5075AFE3">
            <w:pPr>
              <w:pStyle w:val="31"/>
              <w:jc w:val="center"/>
              <w:rPr>
                <w:rFonts w:ascii="Arial" w:hAnsi="Arial" w:eastAsia="仿宋_GB2312" w:cs="Arial"/>
                <w:color w:val="000000"/>
              </w:rPr>
            </w:pPr>
          </w:p>
        </w:tc>
        <w:tc>
          <w:tcPr>
            <w:tcW w:w="609" w:type="pct"/>
            <w:noWrap w:val="0"/>
            <w:vAlign w:val="center"/>
          </w:tcPr>
          <w:p w14:paraId="6C77B83C">
            <w:pPr>
              <w:pStyle w:val="31"/>
              <w:jc w:val="center"/>
              <w:rPr>
                <w:rFonts w:ascii="Arial" w:hAnsi="Arial" w:eastAsia="仿宋_GB2312" w:cs="Arial"/>
                <w:color w:val="000000"/>
              </w:rPr>
            </w:pPr>
          </w:p>
        </w:tc>
        <w:tc>
          <w:tcPr>
            <w:tcW w:w="874" w:type="pct"/>
            <w:noWrap w:val="0"/>
            <w:vAlign w:val="top"/>
          </w:tcPr>
          <w:p w14:paraId="27FF873F">
            <w:pPr>
              <w:rPr>
                <w:color w:val="000000"/>
              </w:rPr>
            </w:pPr>
          </w:p>
        </w:tc>
        <w:tc>
          <w:tcPr>
            <w:tcW w:w="443" w:type="pct"/>
            <w:noWrap w:val="0"/>
            <w:vAlign w:val="center"/>
          </w:tcPr>
          <w:p w14:paraId="79942D63">
            <w:pPr>
              <w:pStyle w:val="31"/>
              <w:jc w:val="center"/>
              <w:rPr>
                <w:rFonts w:ascii="Arial" w:hAnsi="Arial" w:eastAsia="仿宋_GB2312" w:cs="Arial"/>
                <w:color w:val="000000"/>
              </w:rPr>
            </w:pPr>
          </w:p>
        </w:tc>
        <w:tc>
          <w:tcPr>
            <w:tcW w:w="652" w:type="pct"/>
            <w:noWrap w:val="0"/>
            <w:vAlign w:val="center"/>
          </w:tcPr>
          <w:p w14:paraId="4EF55211">
            <w:pPr>
              <w:pStyle w:val="31"/>
              <w:jc w:val="center"/>
              <w:rPr>
                <w:rFonts w:ascii="Arial" w:hAnsi="Arial" w:eastAsia="仿宋_GB2312" w:cs="Arial"/>
                <w:color w:val="000000"/>
              </w:rPr>
            </w:pPr>
          </w:p>
        </w:tc>
        <w:tc>
          <w:tcPr>
            <w:tcW w:w="579" w:type="pct"/>
            <w:noWrap w:val="0"/>
            <w:vAlign w:val="center"/>
          </w:tcPr>
          <w:p w14:paraId="26DB7FF3">
            <w:pPr>
              <w:pStyle w:val="31"/>
              <w:jc w:val="center"/>
              <w:rPr>
                <w:rFonts w:ascii="Arial" w:hAnsi="Arial" w:eastAsia="仿宋_GB2312" w:cs="Arial"/>
                <w:color w:val="000000"/>
              </w:rPr>
            </w:pPr>
          </w:p>
        </w:tc>
        <w:tc>
          <w:tcPr>
            <w:tcW w:w="579" w:type="pct"/>
            <w:noWrap w:val="0"/>
            <w:vAlign w:val="center"/>
          </w:tcPr>
          <w:p w14:paraId="573CA19A">
            <w:pPr>
              <w:pStyle w:val="31"/>
              <w:jc w:val="center"/>
              <w:rPr>
                <w:rFonts w:ascii="Arial" w:hAnsi="Arial" w:eastAsia="仿宋_GB2312" w:cs="Arial"/>
                <w:color w:val="000000"/>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rPr>
            </w:pPr>
          </w:p>
        </w:tc>
        <w:tc>
          <w:tcPr>
            <w:tcW w:w="965" w:type="pct"/>
            <w:noWrap w:val="0"/>
            <w:vAlign w:val="center"/>
          </w:tcPr>
          <w:p w14:paraId="73E9E974">
            <w:pPr>
              <w:pStyle w:val="31"/>
              <w:jc w:val="center"/>
              <w:rPr>
                <w:rFonts w:ascii="Arial" w:hAnsi="Arial" w:eastAsia="仿宋_GB2312" w:cs="Arial"/>
                <w:color w:val="000000"/>
              </w:rPr>
            </w:pPr>
          </w:p>
        </w:tc>
        <w:tc>
          <w:tcPr>
            <w:tcW w:w="609" w:type="pct"/>
            <w:noWrap w:val="0"/>
            <w:vAlign w:val="center"/>
          </w:tcPr>
          <w:p w14:paraId="7C6131FD">
            <w:pPr>
              <w:pStyle w:val="31"/>
              <w:jc w:val="center"/>
              <w:rPr>
                <w:rFonts w:ascii="Arial" w:hAnsi="Arial" w:eastAsia="仿宋_GB2312" w:cs="Arial"/>
                <w:color w:val="000000"/>
              </w:rPr>
            </w:pPr>
          </w:p>
        </w:tc>
        <w:tc>
          <w:tcPr>
            <w:tcW w:w="874" w:type="pct"/>
            <w:noWrap w:val="0"/>
            <w:vAlign w:val="top"/>
          </w:tcPr>
          <w:p w14:paraId="44CA0F96">
            <w:pPr>
              <w:rPr>
                <w:color w:val="000000"/>
              </w:rPr>
            </w:pPr>
          </w:p>
        </w:tc>
        <w:tc>
          <w:tcPr>
            <w:tcW w:w="443" w:type="pct"/>
            <w:noWrap w:val="0"/>
            <w:vAlign w:val="center"/>
          </w:tcPr>
          <w:p w14:paraId="4481FDB2">
            <w:pPr>
              <w:pStyle w:val="31"/>
              <w:jc w:val="center"/>
              <w:rPr>
                <w:rFonts w:ascii="Arial" w:hAnsi="Arial" w:eastAsia="仿宋_GB2312" w:cs="Arial"/>
                <w:color w:val="000000"/>
              </w:rPr>
            </w:pPr>
          </w:p>
        </w:tc>
        <w:tc>
          <w:tcPr>
            <w:tcW w:w="652" w:type="pct"/>
            <w:noWrap w:val="0"/>
            <w:vAlign w:val="center"/>
          </w:tcPr>
          <w:p w14:paraId="6AD54EBE">
            <w:pPr>
              <w:pStyle w:val="31"/>
              <w:jc w:val="center"/>
              <w:rPr>
                <w:rFonts w:ascii="Arial" w:hAnsi="Arial" w:eastAsia="仿宋_GB2312" w:cs="Arial"/>
                <w:color w:val="000000"/>
              </w:rPr>
            </w:pPr>
          </w:p>
        </w:tc>
        <w:tc>
          <w:tcPr>
            <w:tcW w:w="579" w:type="pct"/>
            <w:noWrap w:val="0"/>
            <w:vAlign w:val="center"/>
          </w:tcPr>
          <w:p w14:paraId="76902609">
            <w:pPr>
              <w:pStyle w:val="31"/>
              <w:jc w:val="center"/>
              <w:rPr>
                <w:rFonts w:ascii="Arial" w:hAnsi="Arial" w:eastAsia="仿宋_GB2312" w:cs="Arial"/>
                <w:color w:val="000000"/>
              </w:rPr>
            </w:pPr>
          </w:p>
        </w:tc>
        <w:tc>
          <w:tcPr>
            <w:tcW w:w="579" w:type="pct"/>
            <w:noWrap w:val="0"/>
            <w:vAlign w:val="center"/>
          </w:tcPr>
          <w:p w14:paraId="54841A16">
            <w:pPr>
              <w:pStyle w:val="31"/>
              <w:jc w:val="center"/>
              <w:rPr>
                <w:rFonts w:ascii="Arial" w:hAnsi="Arial" w:eastAsia="仿宋_GB2312" w:cs="Arial"/>
                <w:color w:val="000000"/>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rPr>
            </w:pPr>
          </w:p>
        </w:tc>
        <w:tc>
          <w:tcPr>
            <w:tcW w:w="965" w:type="pct"/>
            <w:noWrap w:val="0"/>
            <w:vAlign w:val="center"/>
          </w:tcPr>
          <w:p w14:paraId="53BF6747">
            <w:pPr>
              <w:pStyle w:val="31"/>
              <w:jc w:val="center"/>
              <w:rPr>
                <w:rFonts w:ascii="Arial" w:hAnsi="Arial" w:eastAsia="仿宋_GB2312" w:cs="Arial"/>
                <w:color w:val="000000"/>
              </w:rPr>
            </w:pPr>
          </w:p>
        </w:tc>
        <w:tc>
          <w:tcPr>
            <w:tcW w:w="609" w:type="pct"/>
            <w:noWrap w:val="0"/>
            <w:vAlign w:val="center"/>
          </w:tcPr>
          <w:p w14:paraId="19F770FA">
            <w:pPr>
              <w:pStyle w:val="31"/>
              <w:jc w:val="center"/>
              <w:rPr>
                <w:rFonts w:ascii="Arial" w:hAnsi="Arial" w:eastAsia="仿宋_GB2312" w:cs="Arial"/>
                <w:color w:val="000000"/>
              </w:rPr>
            </w:pPr>
          </w:p>
        </w:tc>
        <w:tc>
          <w:tcPr>
            <w:tcW w:w="874" w:type="pct"/>
            <w:noWrap w:val="0"/>
            <w:vAlign w:val="top"/>
          </w:tcPr>
          <w:p w14:paraId="46BFF23F">
            <w:pPr>
              <w:rPr>
                <w:color w:val="000000"/>
              </w:rPr>
            </w:pPr>
          </w:p>
        </w:tc>
        <w:tc>
          <w:tcPr>
            <w:tcW w:w="443" w:type="pct"/>
            <w:noWrap w:val="0"/>
            <w:vAlign w:val="center"/>
          </w:tcPr>
          <w:p w14:paraId="42F83315">
            <w:pPr>
              <w:pStyle w:val="31"/>
              <w:jc w:val="center"/>
              <w:rPr>
                <w:rFonts w:ascii="Arial" w:hAnsi="Arial" w:eastAsia="仿宋_GB2312" w:cs="Arial"/>
                <w:color w:val="000000"/>
              </w:rPr>
            </w:pPr>
          </w:p>
        </w:tc>
        <w:tc>
          <w:tcPr>
            <w:tcW w:w="652" w:type="pct"/>
            <w:noWrap w:val="0"/>
            <w:vAlign w:val="center"/>
          </w:tcPr>
          <w:p w14:paraId="48CD45AE">
            <w:pPr>
              <w:pStyle w:val="31"/>
              <w:jc w:val="center"/>
              <w:rPr>
                <w:rFonts w:ascii="Arial" w:hAnsi="Arial" w:eastAsia="仿宋_GB2312" w:cs="Arial"/>
                <w:color w:val="000000"/>
              </w:rPr>
            </w:pPr>
          </w:p>
        </w:tc>
        <w:tc>
          <w:tcPr>
            <w:tcW w:w="579" w:type="pct"/>
            <w:noWrap w:val="0"/>
            <w:vAlign w:val="center"/>
          </w:tcPr>
          <w:p w14:paraId="46BFCD73">
            <w:pPr>
              <w:pStyle w:val="31"/>
              <w:jc w:val="center"/>
              <w:rPr>
                <w:rFonts w:ascii="Arial" w:hAnsi="Arial" w:eastAsia="仿宋_GB2312" w:cs="Arial"/>
                <w:color w:val="000000"/>
              </w:rPr>
            </w:pPr>
          </w:p>
        </w:tc>
        <w:tc>
          <w:tcPr>
            <w:tcW w:w="579" w:type="pct"/>
            <w:noWrap w:val="0"/>
            <w:vAlign w:val="center"/>
          </w:tcPr>
          <w:p w14:paraId="423E5FDC">
            <w:pPr>
              <w:pStyle w:val="31"/>
              <w:jc w:val="center"/>
              <w:rPr>
                <w:rFonts w:ascii="Arial" w:hAnsi="Arial" w:eastAsia="仿宋_GB2312" w:cs="Arial"/>
                <w:color w:val="000000"/>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rPr>
            </w:pPr>
          </w:p>
        </w:tc>
        <w:tc>
          <w:tcPr>
            <w:tcW w:w="965" w:type="pct"/>
            <w:noWrap w:val="0"/>
            <w:vAlign w:val="center"/>
          </w:tcPr>
          <w:p w14:paraId="34F7B62C">
            <w:pPr>
              <w:pStyle w:val="31"/>
              <w:jc w:val="center"/>
              <w:rPr>
                <w:rFonts w:ascii="Arial" w:hAnsi="Arial" w:eastAsia="仿宋_GB2312" w:cs="Arial"/>
                <w:color w:val="000000"/>
              </w:rPr>
            </w:pPr>
          </w:p>
        </w:tc>
        <w:tc>
          <w:tcPr>
            <w:tcW w:w="609" w:type="pct"/>
            <w:noWrap w:val="0"/>
            <w:vAlign w:val="center"/>
          </w:tcPr>
          <w:p w14:paraId="4E782FBE">
            <w:pPr>
              <w:pStyle w:val="31"/>
              <w:jc w:val="center"/>
              <w:rPr>
                <w:rFonts w:ascii="Arial" w:hAnsi="Arial" w:eastAsia="仿宋_GB2312" w:cs="Arial"/>
                <w:color w:val="000000"/>
              </w:rPr>
            </w:pPr>
          </w:p>
        </w:tc>
        <w:tc>
          <w:tcPr>
            <w:tcW w:w="874" w:type="pct"/>
            <w:noWrap w:val="0"/>
            <w:vAlign w:val="top"/>
          </w:tcPr>
          <w:p w14:paraId="562D765D">
            <w:pPr>
              <w:rPr>
                <w:color w:val="000000"/>
              </w:rPr>
            </w:pPr>
          </w:p>
        </w:tc>
        <w:tc>
          <w:tcPr>
            <w:tcW w:w="443" w:type="pct"/>
            <w:noWrap w:val="0"/>
            <w:vAlign w:val="center"/>
          </w:tcPr>
          <w:p w14:paraId="4E95A94A">
            <w:pPr>
              <w:pStyle w:val="31"/>
              <w:jc w:val="center"/>
              <w:rPr>
                <w:rFonts w:ascii="Arial" w:hAnsi="Arial" w:eastAsia="仿宋_GB2312" w:cs="Arial"/>
                <w:color w:val="000000"/>
              </w:rPr>
            </w:pPr>
          </w:p>
        </w:tc>
        <w:tc>
          <w:tcPr>
            <w:tcW w:w="652" w:type="pct"/>
            <w:noWrap w:val="0"/>
            <w:vAlign w:val="center"/>
          </w:tcPr>
          <w:p w14:paraId="553914D0">
            <w:pPr>
              <w:pStyle w:val="31"/>
              <w:jc w:val="center"/>
              <w:rPr>
                <w:rFonts w:ascii="Arial" w:hAnsi="Arial" w:eastAsia="仿宋_GB2312" w:cs="Arial"/>
                <w:color w:val="000000"/>
              </w:rPr>
            </w:pPr>
          </w:p>
        </w:tc>
        <w:tc>
          <w:tcPr>
            <w:tcW w:w="579" w:type="pct"/>
            <w:noWrap w:val="0"/>
            <w:vAlign w:val="center"/>
          </w:tcPr>
          <w:p w14:paraId="39612BE2">
            <w:pPr>
              <w:pStyle w:val="31"/>
              <w:jc w:val="center"/>
              <w:rPr>
                <w:rFonts w:ascii="Arial" w:hAnsi="Arial" w:eastAsia="仿宋_GB2312" w:cs="Arial"/>
                <w:color w:val="000000"/>
              </w:rPr>
            </w:pPr>
          </w:p>
        </w:tc>
        <w:tc>
          <w:tcPr>
            <w:tcW w:w="579" w:type="pct"/>
            <w:noWrap w:val="0"/>
            <w:vAlign w:val="center"/>
          </w:tcPr>
          <w:p w14:paraId="513C9DA0">
            <w:pPr>
              <w:pStyle w:val="31"/>
              <w:jc w:val="center"/>
              <w:rPr>
                <w:rFonts w:ascii="Arial" w:hAnsi="Arial" w:eastAsia="仿宋_GB2312" w:cs="Arial"/>
                <w:color w:val="000000"/>
              </w:rPr>
            </w:pPr>
          </w:p>
        </w:tc>
      </w:tr>
    </w:tbl>
    <w:p w14:paraId="3BD48393">
      <w:pPr>
        <w:pStyle w:val="17"/>
        <w:ind w:firstLine="0"/>
        <w:rPr>
          <w:color w:val="000000"/>
        </w:rPr>
      </w:pPr>
    </w:p>
    <w:p w14:paraId="1FFDD0B0">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007CB79F">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4A48763D">
      <w:pPr>
        <w:pStyle w:val="57"/>
        <w:rPr>
          <w:rFonts w:hint="eastAsia"/>
          <w:color w:val="000000"/>
        </w:rPr>
      </w:pPr>
    </w:p>
    <w:p w14:paraId="3AF8A876">
      <w:pPr>
        <w:rPr>
          <w:rFonts w:hint="eastAsia"/>
          <w:color w:val="000000"/>
        </w:rPr>
      </w:pPr>
    </w:p>
    <w:p w14:paraId="53E221BB">
      <w:pPr>
        <w:keepNext/>
        <w:keepLines/>
        <w:adjustRightInd w:val="0"/>
        <w:snapToGrid w:val="0"/>
        <w:rPr>
          <w:rFonts w:hint="eastAsia"/>
          <w:color w:val="000000"/>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rPr>
        <w:t xml:space="preserve">                                            年     月   日  </w:t>
      </w:r>
    </w:p>
    <w:p w14:paraId="314C0D1B">
      <w:pPr>
        <w:pageBreakBefore/>
        <w:spacing w:line="500" w:lineRule="exact"/>
        <w:outlineLvl w:val="1"/>
        <w:rPr>
          <w:rFonts w:hint="eastAsia" w:cs="宋体"/>
          <w:b/>
          <w:color w:val="auto"/>
          <w:szCs w:val="28"/>
        </w:rPr>
      </w:pPr>
      <w:r>
        <w:rPr>
          <w:rFonts w:hint="eastAsia" w:cs="宋体"/>
          <w:b/>
          <w:color w:val="auto"/>
          <w:szCs w:val="28"/>
        </w:rPr>
        <w:t>二、</w:t>
      </w:r>
      <w:bookmarkEnd w:id="160"/>
      <w:bookmarkEnd w:id="161"/>
      <w:bookmarkEnd w:id="162"/>
      <w:bookmarkEnd w:id="163"/>
      <w:bookmarkEnd w:id="164"/>
      <w:bookmarkEnd w:id="165"/>
      <w:r>
        <w:rPr>
          <w:rFonts w:hint="eastAsia" w:cs="宋体"/>
          <w:b/>
          <w:color w:val="auto"/>
          <w:szCs w:val="28"/>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6" w:name="_Toc492721039"/>
      <w:bookmarkStart w:id="177" w:name="_Toc411"/>
      <w:bookmarkStart w:id="178" w:name="_Toc20875"/>
      <w:bookmarkStart w:id="179" w:name="_Toc76373910"/>
      <w:bookmarkStart w:id="180" w:name="_Toc16487"/>
      <w:bookmarkStart w:id="181" w:name="_Toc493178791"/>
      <w:bookmarkStart w:id="182" w:name="_Toc20258"/>
      <w:bookmarkStart w:id="183" w:name="_Toc12647"/>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4" w:name="_Toc26764"/>
      <w:r>
        <w:rPr>
          <w:rFonts w:hint="eastAsia" w:cs="宋体"/>
          <w:b/>
          <w:color w:val="auto"/>
          <w:szCs w:val="28"/>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5" w:name="_Toc19291"/>
      <w:bookmarkStart w:id="186" w:name="_Toc20605"/>
      <w:bookmarkStart w:id="187" w:name="_Toc492721038"/>
      <w:bookmarkStart w:id="188" w:name="_Toc493178793"/>
      <w:bookmarkStart w:id="189" w:name="_Toc6217"/>
      <w:bookmarkStart w:id="190" w:name="_Toc8925"/>
      <w:bookmarkStart w:id="191" w:name="_Toc76373912"/>
      <w:bookmarkStart w:id="192" w:name="_Toc4250"/>
      <w:bookmarkStart w:id="193" w:name="_Toc16151"/>
      <w:r>
        <w:rPr>
          <w:rFonts w:hint="eastAsia" w:cs="宋体"/>
          <w:b/>
          <w:color w:val="auto"/>
          <w:szCs w:val="28"/>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4" w:name="_Toc27718"/>
      <w:r>
        <w:rPr>
          <w:rFonts w:hint="eastAsia" w:ascii="宋体" w:hAnsi="宋体" w:cs="宋体"/>
          <w:color w:val="auto"/>
        </w:rPr>
        <w:br w:type="column"/>
      </w:r>
      <w:r>
        <w:rPr>
          <w:rFonts w:hint="eastAsia" w:cs="宋体"/>
          <w:b/>
          <w:color w:val="auto"/>
          <w:szCs w:val="28"/>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7A5E8713">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D59D157-B043-41C1-B292-AA308921BA58}"/>
  </w:font>
  <w:font w:name="黑体">
    <w:panose1 w:val="02010609060101010101"/>
    <w:charset w:val="86"/>
    <w:family w:val="auto"/>
    <w:pitch w:val="default"/>
    <w:sig w:usb0="800002BF" w:usb1="38CF7CFA" w:usb2="00000016" w:usb3="00000000" w:csb0="00040001" w:csb1="00000000"/>
    <w:embedRegular r:id="rId2" w:fontKey="{036E5389-1CD8-43A1-B7AC-644338A93EC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9EDE69E9-B600-416A-9F9A-F78A3F4C464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E7514D66-1B88-4032-99DC-E21319469068}"/>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9BCED81A-F8C0-472D-9137-1DAA51533669}"/>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05B6F22C-FAB3-4249-A50F-FC387F1B0832}"/>
  </w:font>
  <w:font w:name="方正黑体_GBK">
    <w:panose1 w:val="03000509000000000000"/>
    <w:charset w:val="86"/>
    <w:family w:val="script"/>
    <w:pitch w:val="default"/>
    <w:sig w:usb0="00000001" w:usb1="080E0000" w:usb2="00000000" w:usb3="00000000" w:csb0="00040000" w:csb1="00000000"/>
    <w:embedRegular r:id="rId7" w:fontKey="{8FC0EB05-7849-441D-9BFD-48F7F5A38C75}"/>
  </w:font>
  <w:font w:name="方正小标宋_GBK">
    <w:panose1 w:val="03000509000000000000"/>
    <w:charset w:val="86"/>
    <w:family w:val="script"/>
    <w:pitch w:val="default"/>
    <w:sig w:usb0="00000001" w:usb1="080E0000" w:usb2="00000000" w:usb3="00000000" w:csb0="00040000" w:csb1="00000000"/>
    <w:embedRegular r:id="rId8" w:fontKey="{91DEA243-D59D-4E95-BAEF-37647216362C}"/>
  </w:font>
  <w:font w:name="微软雅黑">
    <w:panose1 w:val="020B0503020204020204"/>
    <w:charset w:val="86"/>
    <w:family w:val="swiss"/>
    <w:pitch w:val="default"/>
    <w:sig w:usb0="80000287" w:usb1="2ACF3C50" w:usb2="00000016" w:usb3="00000000" w:csb0="0004001F" w:csb1="00000000"/>
    <w:embedRegular r:id="rId9" w:fontKey="{A475305E-6292-4EA6-93C0-FF519B390479}"/>
  </w:font>
  <w:font w:name="仿宋">
    <w:panose1 w:val="02010609060101010101"/>
    <w:charset w:val="86"/>
    <w:family w:val="modern"/>
    <w:pitch w:val="default"/>
    <w:sig w:usb0="800002BF" w:usb1="38CF7CFA" w:usb2="00000016" w:usb3="00000000" w:csb0="00040001" w:csb1="00000000"/>
    <w:embedRegular r:id="rId10" w:fontKey="{848F1A44-51B7-445D-B1DC-C12DA49DCCE3}"/>
  </w:font>
  <w:font w:name="WPSEMBED86">
    <w:panose1 w:val="03000509000000000000"/>
    <w:charset w:val="86"/>
    <w:family w:val="auto"/>
    <w:pitch w:val="default"/>
    <w:sig w:usb0="00000001" w:usb1="080E0000" w:usb2="00000000" w:usb3="00000000" w:csb0="00040000" w:csb1="00000000"/>
  </w:font>
  <w:font w:name="WPSEMBED87">
    <w:panose1 w:val="03000509000000000000"/>
    <w:charset w:val="86"/>
    <w:family w:val="auto"/>
    <w:pitch w:val="default"/>
    <w:sig w:usb0="00000001" w:usb1="080E0000" w:usb2="00000000" w:usb3="00000000" w:csb0="00040000" w:csb1="00000000"/>
  </w:font>
  <w:font w:name="WPSEMBED84">
    <w:panose1 w:val="02010609030101010101"/>
    <w:charset w:val="86"/>
    <w:family w:val="auto"/>
    <w:pitch w:val="default"/>
    <w:sig w:usb0="00000001" w:usb1="080E0000" w:usb2="00000000" w:usb3="00000000" w:csb0="00040000" w:csb1="00000000"/>
  </w:font>
  <w:font w:name="WPSEMBED88">
    <w:panose1 w:val="03000509000000000000"/>
    <w:charset w:val="86"/>
    <w:family w:val="auto"/>
    <w:pitch w:val="default"/>
    <w:sig w:usb0="00000001" w:usb1="080E0000" w:usb2="00000000" w:usb3="00000000" w:csb0="00040000" w:csb1="00000000"/>
  </w:font>
  <w:font w:name="WPSEMBED85">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D1D2F"/>
    <w:rsid w:val="02FE20CD"/>
    <w:rsid w:val="03205937"/>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B7AC2"/>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3D576D"/>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43AA6"/>
    <w:rsid w:val="1A952B54"/>
    <w:rsid w:val="1A9768B9"/>
    <w:rsid w:val="1A99565E"/>
    <w:rsid w:val="1AA82C35"/>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8EE36E3"/>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5C5315"/>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615F62"/>
    <w:rsid w:val="318850D4"/>
    <w:rsid w:val="31AD2A0C"/>
    <w:rsid w:val="31B934DF"/>
    <w:rsid w:val="31BF65A8"/>
    <w:rsid w:val="31C0486E"/>
    <w:rsid w:val="32240245"/>
    <w:rsid w:val="322A64C1"/>
    <w:rsid w:val="322E3DE8"/>
    <w:rsid w:val="324F3206"/>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D32B0A"/>
    <w:rsid w:val="34E765FA"/>
    <w:rsid w:val="35294D38"/>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4050A"/>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6367FB"/>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D15EAF"/>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83F1B"/>
    <w:rsid w:val="4D0F6379"/>
    <w:rsid w:val="4D13189E"/>
    <w:rsid w:val="4D5D07CE"/>
    <w:rsid w:val="4DBB2C37"/>
    <w:rsid w:val="4DBE4874"/>
    <w:rsid w:val="4DBF7158"/>
    <w:rsid w:val="4DDD755C"/>
    <w:rsid w:val="4E0E0A20"/>
    <w:rsid w:val="4E326C84"/>
    <w:rsid w:val="4E6A0F63"/>
    <w:rsid w:val="4E6D76D3"/>
    <w:rsid w:val="4E9514C2"/>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2F1676"/>
    <w:rsid w:val="67606D46"/>
    <w:rsid w:val="6762365F"/>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784D07"/>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6459</Words>
  <Characters>6647</Characters>
  <Lines>101</Lines>
  <Paragraphs>28</Paragraphs>
  <TotalTime>0</TotalTime>
  <ScaleCrop>false</ScaleCrop>
  <LinksUpToDate>false</LinksUpToDate>
  <CharactersWithSpaces>6953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右耳进</cp:lastModifiedBy>
  <cp:lastPrinted>2025-05-22T03:57:00Z</cp:lastPrinted>
  <dcterms:modified xsi:type="dcterms:W3CDTF">2026-07-24T06:11:14Z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eyJoZGlkIjoiMjU2ZTM3ZDFmZjUwMzFiZjYzMmM3NGE2NjI1YTk3YTgiLCJ1c2VySWQiOiI2NzQ3MDY3ODMifQ==</vt:lpwstr>
  </property>
</Properties>
</file>