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13868"/>
      <w:bookmarkStart w:id="2" w:name="_Toc1304"/>
      <w:bookmarkStart w:id="3" w:name="_Toc76373863"/>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rPr>
      </w:pPr>
      <w:bookmarkStart w:id="7" w:name="_Toc15376"/>
      <w:bookmarkStart w:id="8" w:name="_Toc28264"/>
      <w:bookmarkStart w:id="9" w:name="_Toc5909"/>
      <w:bookmarkStart w:id="10" w:name="_Toc22435"/>
      <w:bookmarkStart w:id="11" w:name="_Toc76373864"/>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725F3D3E">
      <w:pPr>
        <w:widowControl/>
        <w:spacing w:line="400" w:lineRule="exact"/>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重症医学科氧浓度可调面罩</w:t>
      </w:r>
    </w:p>
    <w:p w14:paraId="16CE4E12">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FFDC5A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397B9EA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14AFEB5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76373865"/>
            <w:bookmarkStart w:id="15" w:name="_Toc22707"/>
            <w:bookmarkStart w:id="16" w:name="_Toc22129"/>
            <w:bookmarkStart w:id="17" w:name="_Toc5838"/>
            <w:bookmarkStart w:id="18" w:name="_Toc18060"/>
            <w:r>
              <w:rPr>
                <w:rFonts w:hint="eastAsia" w:ascii="宋体" w:hAnsi="宋体" w:eastAsia="宋体" w:cs="宋体"/>
                <w:color w:val="auto"/>
                <w:kern w:val="2"/>
                <w:szCs w:val="24"/>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D39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857017A">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rPr>
              <w:t>重症医学科氧浓度可调面罩</w:t>
            </w:r>
          </w:p>
        </w:tc>
        <w:tc>
          <w:tcPr>
            <w:tcW w:w="1485" w:type="dxa"/>
            <w:shd w:val="clear" w:color="auto" w:fill="auto"/>
            <w:noWrap w:val="0"/>
            <w:vAlign w:val="center"/>
          </w:tcPr>
          <w:p w14:paraId="3F6F098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41889599">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18DA0E21">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妇产科</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338C06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7ED0E3B4">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686CB86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69A4D6D">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562DFA78">
      <w:pPr>
        <w:pStyle w:val="2"/>
        <w:rPr>
          <w:rFonts w:hint="eastAsia"/>
          <w:color w:val="auto"/>
        </w:rPr>
      </w:pPr>
      <w:bookmarkStart w:id="19" w:name="_Toc30358"/>
      <w:bookmarkStart w:id="20" w:name="_Toc10137"/>
      <w:bookmarkStart w:id="21" w:name="_Toc3434"/>
      <w:bookmarkStart w:id="22" w:name="_Toc76373866"/>
      <w:bookmarkStart w:id="23" w:name="_Toc25496"/>
      <w:bookmarkStart w:id="24" w:name="_Toc26504"/>
    </w:p>
    <w:p w14:paraId="20FC5D1D">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highlight w:val="yellow"/>
        </w:rPr>
      </w:pPr>
      <w:r>
        <w:rPr>
          <w:rFonts w:hint="eastAsia" w:ascii="宋体" w:hAnsi="宋体" w:cs="宋体"/>
          <w:bCs/>
          <w:color w:val="auto"/>
          <w:sz w:val="24"/>
          <w:highlight w:val="yellow"/>
          <w:lang w:val="en-US" w:eastAsia="zh-CN"/>
        </w:rPr>
        <w:t>竞选</w:t>
      </w:r>
      <w:r>
        <w:rPr>
          <w:rFonts w:hint="eastAsia" w:ascii="宋体" w:hAnsi="宋体" w:cs="宋体"/>
          <w:bCs/>
          <w:color w:val="auto"/>
          <w:sz w:val="24"/>
          <w:highlight w:val="yellow"/>
        </w:rPr>
        <w:t>人</w:t>
      </w:r>
      <w:r>
        <w:rPr>
          <w:rFonts w:hint="eastAsia" w:ascii="宋体" w:hAnsi="宋体" w:cs="宋体"/>
          <w:bCs/>
          <w:color w:val="auto"/>
          <w:sz w:val="24"/>
          <w:szCs w:val="24"/>
          <w:highlight w:val="yellow"/>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1.基本资格条件</w:t>
      </w:r>
    </w:p>
    <w:p w14:paraId="2E605471">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（1）具有独立承担民事责任的能力</w:t>
      </w:r>
    </w:p>
    <w:p w14:paraId="1C8E2365">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6）提供</w:t>
      </w:r>
      <w:r>
        <w:rPr>
          <w:rFonts w:hint="eastAsia" w:ascii="宋体" w:hAnsi="宋体" w:cs="宋体"/>
          <w:color w:val="auto"/>
          <w:sz w:val="24"/>
          <w:szCs w:val="24"/>
          <w:highlight w:val="yellow"/>
        </w:rPr>
        <w:t>《医药价格和招采信用评级等级承诺书》</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rPr>
        <w:t>（</w:t>
      </w:r>
      <w:r>
        <w:rPr>
          <w:rFonts w:hint="eastAsia" w:ascii="宋体" w:hAnsi="宋体" w:cs="宋体"/>
          <w:color w:val="auto"/>
          <w:sz w:val="24"/>
          <w:szCs w:val="24"/>
          <w:highlight w:val="yellow"/>
          <w:lang w:val="en-US" w:eastAsia="zh-CN"/>
        </w:rPr>
        <w:t>7</w:t>
      </w:r>
      <w:r>
        <w:rPr>
          <w:rFonts w:hint="eastAsia" w:ascii="宋体" w:hAnsi="宋体" w:cs="宋体"/>
          <w:color w:val="auto"/>
          <w:sz w:val="24"/>
          <w:szCs w:val="24"/>
          <w:highlight w:val="yellow"/>
        </w:rPr>
        <w:t>）法律、行政法规规定的其他条件</w:t>
      </w:r>
      <w:r>
        <w:rPr>
          <w:rFonts w:hint="eastAsia" w:ascii="宋体" w:hAnsi="宋体" w:cs="宋体"/>
          <w:color w:val="auto"/>
          <w:sz w:val="24"/>
          <w:szCs w:val="24"/>
          <w:highlight w:val="yellow"/>
          <w:lang w:eastAsia="zh-CN"/>
        </w:rPr>
        <w:t>。</w:t>
      </w:r>
    </w:p>
    <w:p w14:paraId="240D182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2.特定资格条件</w:t>
      </w:r>
    </w:p>
    <w:p w14:paraId="476C4E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highlight w:val="yellow"/>
          <w:lang w:eastAsia="zh-CN"/>
        </w:rPr>
      </w:pPr>
      <w:r>
        <w:rPr>
          <w:rFonts w:hint="eastAsia" w:ascii="宋体" w:hAnsi="宋体" w:cs="宋体"/>
          <w:color w:val="auto"/>
          <w:sz w:val="24"/>
          <w:szCs w:val="24"/>
          <w:highlight w:val="yellow"/>
        </w:rPr>
        <w:t>（4）</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yellow"/>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（5）竞选单位法定代表人签发的授权委托书（须明确授权范围）及身份证明（加盖公章的复印件）。</w:t>
      </w:r>
    </w:p>
    <w:p w14:paraId="21F12D51">
      <w:pPr>
        <w:pStyle w:val="2"/>
        <w:rPr>
          <w:rFonts w:hint="eastAsia"/>
          <w:lang w:eastAsia="zh-CN"/>
        </w:rPr>
      </w:pPr>
    </w:p>
    <w:p w14:paraId="6B99929D">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7D38A4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highlight w:val="yellow"/>
          <w:lang w:val="en-US" w:eastAsia="zh-CN"/>
        </w:rPr>
      </w:pPr>
      <w:r>
        <w:rPr>
          <w:rFonts w:hint="eastAsia" w:ascii="宋体" w:hAnsi="宋体" w:cs="宋体"/>
          <w:color w:val="auto"/>
          <w:sz w:val="24"/>
          <w:szCs w:val="24"/>
          <w:highlight w:val="yellow"/>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yellow"/>
          <w:lang w:val="en-US" w:eastAsia="zh-CN"/>
        </w:rPr>
        <w:t>同一合同项</w:t>
      </w:r>
      <w:r>
        <w:rPr>
          <w:rFonts w:hint="eastAsia" w:ascii="宋体" w:hAnsi="宋体" w:cs="宋体"/>
          <w:color w:val="auto"/>
          <w:sz w:val="24"/>
          <w:szCs w:val="24"/>
          <w:highlight w:val="yellow"/>
        </w:rPr>
        <w:t>（分包）</w:t>
      </w:r>
      <w:r>
        <w:rPr>
          <w:rFonts w:hint="eastAsia" w:ascii="宋体" w:hAnsi="宋体" w:cs="宋体"/>
          <w:color w:val="auto"/>
          <w:sz w:val="24"/>
          <w:szCs w:val="24"/>
          <w:highlight w:val="yellow"/>
          <w:lang w:val="en-US" w:eastAsia="zh-CN"/>
        </w:rPr>
        <w:t>具体项目</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28099"/>
      <w:bookmarkStart w:id="31" w:name="_Toc18799"/>
      <w:bookmarkStart w:id="32" w:name="_Toc654"/>
      <w:bookmarkStart w:id="33" w:name="_Toc7527"/>
      <w:r>
        <w:rPr>
          <w:rFonts w:hint="eastAsia" w:ascii="宋体" w:hAnsi="宋体" w:cs="宋体"/>
          <w:b/>
          <w:bCs/>
          <w:color w:val="auto"/>
          <w:sz w:val="24"/>
          <w:szCs w:val="24"/>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2026年7月28日 17：00</w:t>
      </w:r>
    </w:p>
    <w:p w14:paraId="57BD5EB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eastAsia" w:cs="Times New Roman"/>
          <w:b w:val="0"/>
          <w:bCs/>
          <w:color w:val="auto"/>
          <w:kern w:val="0"/>
          <w:sz w:val="24"/>
          <w:szCs w:val="24"/>
          <w:u w:val="single"/>
          <w:lang w:val="en-US" w:eastAsia="zh-CN"/>
        </w:rPr>
        <w:t>1530733634</w:t>
      </w:r>
      <w:r>
        <w:rPr>
          <w:rFonts w:hint="default" w:ascii="Times New Roman" w:hAnsi="Times New Roman" w:cs="Times New Roman"/>
          <w:b w:val="0"/>
          <w:bCs/>
          <w:color w:val="auto"/>
          <w:kern w:val="0"/>
          <w:sz w:val="24"/>
          <w:szCs w:val="24"/>
          <w:u w:val="single"/>
        </w:rPr>
        <w:t>@qq.com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重症医学科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重症医学科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i w:val="0"/>
          <w:iCs w:val="0"/>
          <w:color w:val="auto"/>
          <w:kern w:val="0"/>
          <w:sz w:val="24"/>
          <w:szCs w:val="24"/>
          <w:u w:val="none"/>
          <w:lang w:val="en-US" w:eastAsia="zh-CN" w:bidi="ar"/>
        </w:rPr>
        <w:t>重症医学科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10F9BF3">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i w:val="0"/>
          <w:iCs w:val="0"/>
          <w:color w:val="auto"/>
          <w:kern w:val="0"/>
          <w:sz w:val="24"/>
          <w:szCs w:val="24"/>
          <w:u w:val="none"/>
          <w:lang w:val="en-US" w:eastAsia="zh-CN" w:bidi="ar"/>
        </w:rPr>
        <w:t>胸心外</w:t>
      </w:r>
      <w:r>
        <w:rPr>
          <w:rFonts w:hint="eastAsia" w:ascii="宋体" w:hAnsi="宋体" w:cs="宋体"/>
          <w:color w:val="auto"/>
          <w:sz w:val="24"/>
          <w:szCs w:val="24"/>
          <w:u w:val="single"/>
          <w:lang w:val="en-US" w:eastAsia="zh-CN"/>
        </w:rPr>
        <w:t>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yellow"/>
          <w:lang w:val="en-US" w:eastAsia="zh-CN"/>
        </w:rPr>
        <w:t>制作竞选文件时，“</w:t>
      </w:r>
      <w:r>
        <w:rPr>
          <w:rFonts w:hint="eastAsia" w:ascii="宋体" w:hAnsi="宋体" w:eastAsia="宋体" w:cs="宋体"/>
          <w:color w:val="auto"/>
          <w:sz w:val="24"/>
          <w:szCs w:val="24"/>
          <w:highlight w:val="yellow"/>
        </w:rPr>
        <w:t>开标现场最终报价表</w:t>
      </w:r>
      <w:r>
        <w:rPr>
          <w:rFonts w:hint="eastAsia" w:ascii="宋体" w:hAnsi="宋体" w:eastAsia="宋体" w:cs="宋体"/>
          <w:color w:val="auto"/>
          <w:sz w:val="24"/>
          <w:szCs w:val="24"/>
          <w:highlight w:val="yellow"/>
          <w:lang w:val="en-US" w:eastAsia="zh-CN"/>
        </w:rPr>
        <w:t>”</w:t>
      </w:r>
      <w:r>
        <w:rPr>
          <w:rFonts w:hint="default" w:ascii="宋体" w:hAnsi="宋体" w:eastAsia="宋体" w:cs="宋体"/>
          <w:color w:val="auto"/>
          <w:sz w:val="24"/>
          <w:szCs w:val="24"/>
          <w:highlight w:val="yellow"/>
          <w:lang w:val="en-US" w:eastAsia="zh-CN"/>
        </w:rPr>
        <w:t>须</w:t>
      </w:r>
      <w:bookmarkStart w:id="37" w:name="OLE_LINK4"/>
      <w:r>
        <w:rPr>
          <w:rFonts w:hint="default" w:ascii="宋体" w:hAnsi="宋体" w:eastAsia="宋体" w:cs="宋体"/>
          <w:color w:val="auto"/>
          <w:sz w:val="24"/>
          <w:szCs w:val="24"/>
          <w:highlight w:val="yellow"/>
        </w:rPr>
        <w:t>与报名时提交的“耗材报名表”的中载明的产品信息（含产品注册证名称、规格型号、顺序等）保持一致</w:t>
      </w:r>
      <w:bookmarkEnd w:id="37"/>
      <w:r>
        <w:rPr>
          <w:rFonts w:hint="eastAsia" w:ascii="宋体" w:hAnsi="宋体" w:eastAsia="宋体" w:cs="宋体"/>
          <w:color w:val="auto"/>
          <w:sz w:val="24"/>
          <w:szCs w:val="24"/>
          <w:highlight w:val="yellow"/>
          <w:lang w:eastAsia="zh-CN"/>
        </w:rPr>
        <w:t>。</w:t>
      </w:r>
      <w:r>
        <w:rPr>
          <w:rFonts w:hint="default" w:ascii="宋体" w:hAnsi="宋体" w:eastAsia="宋体" w:cs="宋体"/>
          <w:color w:val="auto"/>
          <w:sz w:val="24"/>
          <w:szCs w:val="24"/>
          <w:highlight w:val="yellow"/>
        </w:rPr>
        <w:t>“耗材报名表”填写时不得改变文档格式，所有标红项为必填项，若没有相关情况则写“无”</w:t>
      </w:r>
      <w:r>
        <w:rPr>
          <w:rFonts w:hint="eastAsia" w:ascii="宋体" w:hAnsi="宋体" w:eastAsia="宋体" w:cs="宋体"/>
          <w:color w:val="auto"/>
          <w:sz w:val="24"/>
          <w:szCs w:val="24"/>
          <w:highlight w:val="yellow"/>
          <w:lang w:eastAsia="zh-CN"/>
        </w:rPr>
        <w:t>。</w:t>
      </w:r>
    </w:p>
    <w:p w14:paraId="4D2178DB">
      <w:pPr>
        <w:widowControl/>
        <w:spacing w:line="400" w:lineRule="exact"/>
        <w:outlineLvl w:val="1"/>
        <w:rPr>
          <w:rFonts w:hint="eastAsia" w:ascii="宋体" w:hAnsi="宋体" w:cs="宋体"/>
          <w:b/>
          <w:color w:val="auto"/>
          <w:sz w:val="24"/>
        </w:rPr>
      </w:pPr>
      <w:bookmarkStart w:id="38" w:name="_Toc768"/>
      <w:bookmarkStart w:id="39" w:name="_Toc18950"/>
      <w:r>
        <w:rPr>
          <w:rFonts w:hint="eastAsia" w:ascii="宋体" w:hAnsi="宋体" w:cs="宋体"/>
          <w:b/>
          <w:color w:val="auto"/>
          <w:sz w:val="24"/>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6B33AFBA">
      <w:pPr>
        <w:pStyle w:val="52"/>
        <w:spacing w:before="0" w:beforeAutospacing="0" w:after="0" w:afterAutospacing="0" w:line="400" w:lineRule="exact"/>
        <w:ind w:firstLine="480" w:firstLineChars="200"/>
        <w:jc w:val="both"/>
        <w:rPr>
          <w:rFonts w:hint="default" w:ascii="宋体" w:hAnsi="宋体" w:eastAsia="宋体" w:cs="宋体"/>
          <w:color w:val="auto"/>
          <w:szCs w:val="24"/>
          <w:lang w:val="en-US" w:eastAsia="zh-CN"/>
        </w:rPr>
      </w:pPr>
      <w:r>
        <w:rPr>
          <w:rFonts w:hint="eastAsia" w:ascii="宋体" w:hAnsi="宋体" w:eastAsia="宋体" w:cs="宋体"/>
          <w:color w:val="auto"/>
          <w:szCs w:val="24"/>
        </w:rPr>
        <w:t>2.</w:t>
      </w:r>
      <w:r>
        <w:rPr>
          <w:rFonts w:hint="eastAsia" w:ascii="宋体" w:hAnsi="宋体" w:eastAsia="宋体" w:cs="宋体"/>
          <w:color w:val="auto"/>
          <w:szCs w:val="24"/>
          <w:lang w:val="en-US" w:eastAsia="zh-CN"/>
        </w:rPr>
        <w:t>预计</w:t>
      </w:r>
      <w:r>
        <w:rPr>
          <w:rFonts w:hint="eastAsia" w:ascii="宋体" w:hAnsi="宋体" w:eastAsia="宋体" w:cs="宋体"/>
          <w:color w:val="auto"/>
          <w:szCs w:val="24"/>
        </w:rPr>
        <w:t xml:space="preserve">采购谈判时间： </w:t>
      </w:r>
      <w:r>
        <w:rPr>
          <w:rFonts w:hint="eastAsia" w:ascii="宋体" w:hAnsi="宋体" w:eastAsia="宋体" w:cs="宋体"/>
          <w:color w:val="auto"/>
          <w:szCs w:val="24"/>
          <w:shd w:val="clear" w:color="auto" w:fill="FFFFFF"/>
          <w:lang w:val="en-US" w:eastAsia="zh-CN"/>
        </w:rPr>
        <w:t>2026年7月29-28日（具体时间电话另行通知）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邓</w:t>
      </w:r>
      <w:r>
        <w:rPr>
          <w:rFonts w:hint="eastAsia" w:ascii="宋体" w:hAnsi="宋体" w:eastAsia="宋体" w:cs="宋体"/>
          <w:color w:val="auto"/>
          <w:szCs w:val="24"/>
        </w:rPr>
        <w:t>老师</w:t>
      </w:r>
    </w:p>
    <w:p w14:paraId="21DE014C">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023-63693385</w:t>
      </w:r>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rPr>
      </w:pPr>
      <w:bookmarkStart w:id="195" w:name="_GoBack"/>
      <w:bookmarkEnd w:id="195"/>
      <w:r>
        <w:rPr>
          <w:rFonts w:hint="eastAsia" w:ascii="宋体" w:hAnsi="宋体" w:cs="宋体"/>
          <w:color w:val="auto"/>
        </w:rPr>
        <w:br w:type="page"/>
      </w:r>
      <w:bookmarkStart w:id="42" w:name="_Toc9714"/>
      <w:bookmarkStart w:id="43" w:name="_Toc4033"/>
      <w:bookmarkStart w:id="44" w:name="_Toc25272"/>
      <w:bookmarkStart w:id="45" w:name="_Toc76373872"/>
      <w:bookmarkStart w:id="46" w:name="_Toc14224"/>
      <w:bookmarkStart w:id="47" w:name="_Toc21905"/>
      <w:bookmarkStart w:id="48" w:name="_Toc20138"/>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3153"/>
      <w:bookmarkStart w:id="51" w:name="_Toc11474"/>
      <w:bookmarkStart w:id="52" w:name="_Toc2599"/>
      <w:bookmarkStart w:id="53" w:name="_Toc76373874"/>
      <w:bookmarkStart w:id="54" w:name="_Toc13391"/>
      <w:bookmarkStart w:id="55" w:name="_Toc25148"/>
      <w:bookmarkStart w:id="56" w:name="_Toc27187"/>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76373876"/>
      <w:bookmarkStart w:id="58" w:name="_Toc29225"/>
      <w:bookmarkStart w:id="59" w:name="_Toc30465"/>
      <w:bookmarkStart w:id="60" w:name="_Toc29620"/>
      <w:bookmarkStart w:id="61" w:name="_Toc6355"/>
      <w:bookmarkStart w:id="62" w:name="_Toc1955"/>
      <w:bookmarkStart w:id="63" w:name="_Toc13107"/>
    </w:p>
    <w:p w14:paraId="2A7A6426">
      <w:pPr>
        <w:spacing w:line="320" w:lineRule="exact"/>
        <w:ind w:left="479" w:leftChars="85" w:hanging="241" w:hangingChars="10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1氧浓度可调面罩</w:t>
      </w:r>
    </w:p>
    <w:p w14:paraId="6B8B0FB2">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功能用途：用于终止早期妊娠（人工流产），清除妊娠残留物（不全流产或流产后清宫），诊断性刮宫（取子宫内膜活检）。</w:t>
      </w:r>
    </w:p>
    <w:p w14:paraId="23F0D462">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技术参数：</w:t>
      </w:r>
    </w:p>
    <w:p w14:paraId="5BDC3CBD">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1.主要用途：本品适用于成人患者，用于医疗环境中输送特定浓度、经过精确控制的氧气疗法。其核心功能是通过文丘里原理（Venturi Principle）吸入特定比例的空气，以提供从低浓度到中高浓度的恒定氧浓度。</w:t>
      </w:r>
    </w:p>
    <w:p w14:paraId="721852B0">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2.材质：</w:t>
      </w:r>
    </w:p>
    <w:p w14:paraId="58940E11">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面罩主体：由医疗级、低过敏性、柔软的材料制成。</w:t>
      </w:r>
    </w:p>
    <w:p w14:paraId="628786BE">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氧气管路：长度大于等于1.5米。</w:t>
      </w:r>
    </w:p>
    <w:p w14:paraId="1A5B6E85">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3.物理尺寸：可提供成人及儿童型</w:t>
      </w:r>
    </w:p>
    <w:p w14:paraId="459FCA04">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4.性能参数：</w:t>
      </w:r>
    </w:p>
    <w:p w14:paraId="3E26B4B3">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氧浓度范围：可提供不同氧浓度，氧流量选项。</w:t>
      </w:r>
    </w:p>
    <w:p w14:paraId="5C9398F3">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耗材组成成分：面罩与文丘里装置可拆解使用，文丘里装置可匹配常规湿化罐接口使用。</w:t>
      </w:r>
    </w:p>
    <w:p w14:paraId="5533BE98">
      <w:pPr>
        <w:pStyle w:val="2"/>
        <w:ind w:firstLine="480" w:firstLineChars="200"/>
        <w:rPr>
          <w:rFonts w:hint="default" w:ascii="微软雅黑" w:hAnsi="微软雅黑" w:eastAsia="微软雅黑" w:cs="微软雅黑"/>
          <w:kern w:val="2"/>
          <w:sz w:val="24"/>
          <w:szCs w:val="24"/>
          <w:highlight w:val="yellow"/>
          <w:lang w:val="en-US" w:eastAsia="zh-CN" w:bidi="ar-SA"/>
        </w:rPr>
      </w:pPr>
      <w:r>
        <w:rPr>
          <w:rFonts w:hint="eastAsia" w:ascii="微软雅黑" w:hAnsi="微软雅黑" w:eastAsia="微软雅黑" w:cs="微软雅黑"/>
          <w:kern w:val="2"/>
          <w:sz w:val="24"/>
          <w:szCs w:val="24"/>
          <w:highlight w:val="yellow"/>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31843"/>
      <w:bookmarkStart w:id="66" w:name="_Toc76373878"/>
      <w:bookmarkStart w:id="67" w:name="_Toc17944"/>
      <w:bookmarkStart w:id="68" w:name="_Toc15650"/>
      <w:bookmarkStart w:id="69" w:name="_Toc17524"/>
      <w:bookmarkStart w:id="70" w:name="_Toc2072"/>
      <w:bookmarkStart w:id="71" w:name="_Toc24122"/>
      <w:bookmarkStart w:id="72" w:name="_Toc7794"/>
      <w:bookmarkStart w:id="73" w:name="_Toc4791"/>
      <w:bookmarkStart w:id="74" w:name="_Toc1768"/>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22561"/>
      <w:bookmarkStart w:id="77" w:name="_Toc9339"/>
      <w:bookmarkStart w:id="78" w:name="_Toc29836"/>
      <w:bookmarkStart w:id="79" w:name="_Toc76373879"/>
      <w:bookmarkStart w:id="80" w:name="_Toc30551"/>
      <w:bookmarkStart w:id="81" w:name="_Toc14311"/>
      <w:bookmarkStart w:id="82" w:name="_Toc5959"/>
      <w:bookmarkStart w:id="83" w:name="_Toc28942"/>
      <w:bookmarkStart w:id="84" w:name="_Toc13528"/>
      <w:bookmarkStart w:id="85"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27737"/>
      <w:bookmarkStart w:id="87" w:name="_Toc76373885"/>
      <w:bookmarkStart w:id="88" w:name="_Toc2258"/>
      <w:bookmarkStart w:id="89" w:name="_Toc12384"/>
      <w:bookmarkStart w:id="90" w:name="_Toc20263"/>
      <w:bookmarkStart w:id="91" w:name="_Toc27893"/>
      <w:bookmarkStart w:id="92" w:name="_Toc20772"/>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76373886"/>
      <w:bookmarkStart w:id="94" w:name="_Toc23699"/>
      <w:bookmarkStart w:id="95" w:name="_Toc11052"/>
      <w:bookmarkStart w:id="96" w:name="_Toc12712"/>
      <w:bookmarkStart w:id="97" w:name="_Toc7115"/>
      <w:bookmarkStart w:id="98" w:name="_Toc28189"/>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highlight w:val="yellow"/>
        </w:rPr>
      </w:pPr>
      <w:r>
        <w:rPr>
          <w:rFonts w:hint="eastAsia" w:ascii="宋体" w:hAnsi="宋体" w:cs="宋体"/>
          <w:color w:val="auto"/>
          <w:kern w:val="0"/>
          <w:sz w:val="24"/>
          <w:szCs w:val="24"/>
          <w:highlight w:val="yellow"/>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highlight w:val="yellow"/>
        </w:rPr>
      </w:pPr>
    </w:p>
    <w:p w14:paraId="4D7FB686">
      <w:pPr>
        <w:spacing w:line="400" w:lineRule="exact"/>
        <w:outlineLvl w:val="1"/>
        <w:rPr>
          <w:rFonts w:hint="eastAsia" w:cs="宋体"/>
          <w:b/>
          <w:color w:val="auto"/>
          <w:sz w:val="24"/>
          <w:highlight w:val="yellow"/>
        </w:rPr>
      </w:pPr>
      <w:bookmarkStart w:id="100" w:name="_Toc9147"/>
      <w:bookmarkStart w:id="101" w:name="_Toc19809"/>
      <w:bookmarkStart w:id="102" w:name="_Toc26754"/>
      <w:bookmarkStart w:id="103" w:name="_Toc13585"/>
      <w:bookmarkStart w:id="104" w:name="_Toc5535"/>
      <w:bookmarkStart w:id="105" w:name="_Toc31293"/>
      <w:bookmarkStart w:id="106" w:name="_Toc76373887"/>
      <w:r>
        <w:rPr>
          <w:rFonts w:hint="eastAsia" w:cs="宋体"/>
          <w:b/>
          <w:color w:val="auto"/>
          <w:sz w:val="24"/>
          <w:highlight w:val="yellow"/>
        </w:rPr>
        <w:t>二、</w:t>
      </w:r>
      <w:r>
        <w:rPr>
          <w:rFonts w:hint="eastAsia" w:cs="宋体"/>
          <w:b/>
          <w:color w:val="auto"/>
          <w:sz w:val="24"/>
          <w:highlight w:val="yellow"/>
          <w:lang w:val="en-US" w:eastAsia="zh-CN"/>
        </w:rPr>
        <w:t>遴选</w:t>
      </w:r>
      <w:r>
        <w:rPr>
          <w:rFonts w:hint="eastAsia" w:cs="宋体"/>
          <w:b/>
          <w:color w:val="auto"/>
          <w:sz w:val="24"/>
          <w:highlight w:val="yellow"/>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yellow"/>
          <w:lang w:val="en-US" w:eastAsia="zh-CN"/>
        </w:rPr>
        <w:t>1</w:t>
      </w:r>
      <w:r>
        <w:rPr>
          <w:rFonts w:hint="eastAsia" w:ascii="宋体" w:hAnsi="宋体" w:cs="宋体"/>
          <w:color w:val="auto"/>
          <w:kern w:val="0"/>
          <w:sz w:val="24"/>
          <w:szCs w:val="24"/>
          <w:highlight w:val="yellow"/>
          <w:lang w:val="en-US" w:eastAsia="zh-CN"/>
        </w:rPr>
        <w:t>.</w:t>
      </w:r>
      <w:r>
        <w:rPr>
          <w:rFonts w:hint="eastAsia" w:ascii="宋体" w:hAnsi="宋体" w:eastAsia="宋体" w:cs="宋体"/>
          <w:color w:val="auto"/>
          <w:kern w:val="0"/>
          <w:sz w:val="24"/>
          <w:szCs w:val="24"/>
          <w:highlight w:val="yellow"/>
        </w:rPr>
        <w:t>按</w:t>
      </w:r>
      <w:r>
        <w:rPr>
          <w:rFonts w:hint="eastAsia" w:ascii="宋体" w:hAnsi="宋体" w:eastAsia="宋体" w:cs="宋体"/>
          <w:color w:val="auto"/>
          <w:kern w:val="0"/>
          <w:sz w:val="24"/>
          <w:szCs w:val="24"/>
          <w:highlight w:val="yellow"/>
          <w:lang w:eastAsia="zh-CN"/>
        </w:rPr>
        <w:t>遴选</w:t>
      </w:r>
      <w:r>
        <w:rPr>
          <w:rFonts w:hint="eastAsia" w:ascii="宋体" w:hAnsi="宋体" w:eastAsia="宋体" w:cs="宋体"/>
          <w:b w:val="0"/>
          <w:bCs w:val="0"/>
          <w:color w:val="auto"/>
          <w:kern w:val="0"/>
          <w:sz w:val="24"/>
          <w:szCs w:val="24"/>
          <w:highlight w:val="yellow"/>
        </w:rPr>
        <w:t>采购文件中规定</w:t>
      </w:r>
      <w:r>
        <w:rPr>
          <w:rFonts w:hint="eastAsia" w:ascii="宋体" w:hAnsi="宋体" w:eastAsia="宋体" w:cs="宋体"/>
          <w:b w:val="0"/>
          <w:bCs w:val="0"/>
          <w:color w:val="auto"/>
          <w:kern w:val="0"/>
          <w:sz w:val="24"/>
          <w:szCs w:val="24"/>
          <w:highlight w:val="yellow"/>
          <w:lang w:eastAsia="zh-CN"/>
        </w:rPr>
        <w:t>，</w:t>
      </w:r>
      <w:r>
        <w:rPr>
          <w:rFonts w:hint="eastAsia" w:ascii="宋体" w:hAnsi="宋体" w:eastAsia="宋体" w:cs="宋体"/>
          <w:b w:val="0"/>
          <w:bCs w:val="0"/>
          <w:color w:val="auto"/>
          <w:kern w:val="0"/>
          <w:sz w:val="24"/>
          <w:szCs w:val="24"/>
          <w:highlight w:val="yellow"/>
        </w:rPr>
        <w:t>对资格审查</w:t>
      </w:r>
      <w:r>
        <w:rPr>
          <w:rFonts w:hint="eastAsia" w:ascii="宋体" w:hAnsi="宋体" w:eastAsia="宋体" w:cs="宋体"/>
          <w:color w:val="auto"/>
          <w:kern w:val="0"/>
          <w:sz w:val="24"/>
          <w:szCs w:val="24"/>
          <w:highlight w:val="yellow"/>
        </w:rPr>
        <w:t>合格的响应文件进行技术评估。提供相同品牌产品且通过资格审查的不同</w:t>
      </w:r>
      <w:r>
        <w:rPr>
          <w:rFonts w:hint="eastAsia" w:ascii="宋体" w:hAnsi="宋体" w:eastAsia="宋体" w:cs="宋体"/>
          <w:color w:val="auto"/>
          <w:kern w:val="0"/>
          <w:sz w:val="24"/>
          <w:szCs w:val="24"/>
          <w:highlight w:val="yellow"/>
          <w:lang w:eastAsia="zh-CN"/>
        </w:rPr>
        <w:t>竞选</w:t>
      </w:r>
      <w:r>
        <w:rPr>
          <w:rFonts w:hint="eastAsia" w:ascii="宋体" w:hAnsi="宋体" w:eastAsia="宋体" w:cs="宋体"/>
          <w:color w:val="auto"/>
          <w:kern w:val="0"/>
          <w:sz w:val="24"/>
          <w:szCs w:val="24"/>
          <w:highlight w:val="yellow"/>
        </w:rPr>
        <w:t>人参加的，按一家</w:t>
      </w:r>
      <w:r>
        <w:rPr>
          <w:rFonts w:hint="eastAsia" w:ascii="宋体" w:hAnsi="宋体" w:eastAsia="宋体" w:cs="宋体"/>
          <w:color w:val="auto"/>
          <w:kern w:val="0"/>
          <w:sz w:val="24"/>
          <w:szCs w:val="24"/>
          <w:highlight w:val="yellow"/>
          <w:lang w:val="en-US" w:eastAsia="zh-CN"/>
        </w:rPr>
        <w:t>竞选</w:t>
      </w:r>
      <w:r>
        <w:rPr>
          <w:rFonts w:hint="eastAsia" w:ascii="宋体" w:hAnsi="宋体" w:eastAsia="宋体" w:cs="宋体"/>
          <w:color w:val="auto"/>
          <w:kern w:val="0"/>
          <w:sz w:val="24"/>
          <w:szCs w:val="24"/>
          <w:highlight w:val="yellow"/>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highlight w:val="yellow"/>
          <w:lang w:eastAsia="zh-CN"/>
        </w:rPr>
      </w:pPr>
      <w:r>
        <w:rPr>
          <w:rFonts w:hint="eastAsia" w:ascii="宋体" w:hAnsi="宋体" w:eastAsia="宋体" w:cs="宋体"/>
          <w:color w:val="auto"/>
          <w:kern w:val="0"/>
          <w:sz w:val="24"/>
          <w:szCs w:val="24"/>
          <w:highlight w:val="yellow"/>
          <w:lang w:val="en-US" w:eastAsia="zh-CN"/>
        </w:rPr>
        <w:t>2</w:t>
      </w:r>
      <w:r>
        <w:rPr>
          <w:rFonts w:hint="eastAsia" w:ascii="宋体" w:hAnsi="宋体" w:cs="宋体"/>
          <w:color w:val="auto"/>
          <w:kern w:val="0"/>
          <w:sz w:val="24"/>
          <w:szCs w:val="24"/>
          <w:highlight w:val="yellow"/>
          <w:lang w:val="en-US" w:eastAsia="zh-CN"/>
        </w:rPr>
        <w:t>.根据不同档次或需求评选能够实现基本要求的供应商</w:t>
      </w:r>
      <w:r>
        <w:rPr>
          <w:rFonts w:hint="eastAsia" w:ascii="宋体" w:hAnsi="宋体" w:eastAsia="宋体" w:cs="宋体"/>
          <w:color w:val="auto"/>
          <w:kern w:val="0"/>
          <w:sz w:val="24"/>
          <w:szCs w:val="24"/>
          <w:highlight w:val="yellow"/>
        </w:rPr>
        <w:t>，</w:t>
      </w:r>
      <w:r>
        <w:rPr>
          <w:rFonts w:hint="eastAsia" w:ascii="宋体" w:hAnsi="宋体" w:cs="宋体"/>
          <w:color w:val="auto"/>
          <w:kern w:val="0"/>
          <w:sz w:val="24"/>
          <w:szCs w:val="24"/>
          <w:highlight w:val="yellow"/>
          <w:lang w:val="en-US" w:eastAsia="zh-CN"/>
        </w:rPr>
        <w:t>按</w:t>
      </w:r>
      <w:r>
        <w:rPr>
          <w:rFonts w:hint="eastAsia" w:ascii="宋体" w:hAnsi="宋体" w:eastAsia="宋体" w:cs="宋体"/>
          <w:color w:val="auto"/>
          <w:kern w:val="0"/>
          <w:sz w:val="24"/>
          <w:szCs w:val="24"/>
          <w:highlight w:val="yellow"/>
          <w:lang w:eastAsia="zh-CN"/>
        </w:rPr>
        <w:t>竞选报价</w:t>
      </w:r>
      <w:r>
        <w:rPr>
          <w:rFonts w:hint="eastAsia" w:ascii="宋体" w:hAnsi="宋体" w:eastAsia="宋体" w:cs="宋体"/>
          <w:color w:val="auto"/>
          <w:kern w:val="0"/>
          <w:sz w:val="24"/>
          <w:szCs w:val="24"/>
          <w:highlight w:val="yellow"/>
        </w:rPr>
        <w:t>由低到高的顺序，</w:t>
      </w:r>
      <w:r>
        <w:rPr>
          <w:rFonts w:hint="eastAsia" w:ascii="宋体" w:hAnsi="宋体" w:cs="宋体"/>
          <w:color w:val="auto"/>
          <w:kern w:val="0"/>
          <w:sz w:val="24"/>
          <w:szCs w:val="24"/>
          <w:highlight w:val="yellow"/>
          <w:lang w:val="en-US" w:eastAsia="zh-CN"/>
        </w:rPr>
        <w:t>遴选出拟中选供应商</w:t>
      </w:r>
      <w:r>
        <w:rPr>
          <w:rFonts w:hint="eastAsia" w:ascii="宋体" w:hAnsi="宋体" w:cs="宋体"/>
          <w:color w:val="auto"/>
          <w:kern w:val="0"/>
          <w:sz w:val="24"/>
          <w:szCs w:val="24"/>
          <w:highlight w:val="yellow"/>
          <w:lang w:eastAsia="zh-CN"/>
        </w:rPr>
        <w:t>。</w:t>
      </w:r>
    </w:p>
    <w:p w14:paraId="2853F9D2">
      <w:pPr>
        <w:snapToGrid w:val="0"/>
        <w:spacing w:line="400" w:lineRule="exact"/>
        <w:ind w:firstLine="480" w:firstLineChars="200"/>
        <w:rPr>
          <w:rFonts w:hint="eastAsia"/>
          <w:color w:val="auto"/>
          <w:sz w:val="24"/>
          <w:szCs w:val="16"/>
          <w:highlight w:val="yellow"/>
          <w:lang w:eastAsia="zh-CN"/>
        </w:rPr>
      </w:pPr>
      <w:r>
        <w:rPr>
          <w:rFonts w:hint="eastAsia" w:ascii="宋体" w:hAnsi="宋体" w:cs="宋体"/>
          <w:color w:val="auto"/>
          <w:kern w:val="0"/>
          <w:sz w:val="24"/>
          <w:szCs w:val="24"/>
          <w:highlight w:val="yellow"/>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yellow"/>
        </w:rPr>
        <w:t>。</w:t>
      </w:r>
    </w:p>
    <w:p w14:paraId="007A3CC1">
      <w:pPr>
        <w:snapToGrid w:val="0"/>
        <w:spacing w:line="400" w:lineRule="exact"/>
        <w:ind w:firstLine="465"/>
        <w:rPr>
          <w:rFonts w:hint="eastAsia" w:ascii="宋体" w:hAnsi="宋体" w:cs="宋体"/>
          <w:color w:val="auto"/>
          <w:sz w:val="24"/>
          <w:szCs w:val="24"/>
          <w:highlight w:val="yellow"/>
        </w:rPr>
      </w:pPr>
      <w:r>
        <w:rPr>
          <w:rFonts w:hint="eastAsia" w:ascii="宋体" w:hAnsi="宋体" w:cs="宋体"/>
          <w:color w:val="auto"/>
          <w:sz w:val="24"/>
          <w:szCs w:val="24"/>
          <w:highlight w:val="yellow"/>
        </w:rPr>
        <w:t>说明：院内采购小组及评审专家认为竞选人的报价明显低于其他通过</w:t>
      </w:r>
      <w:r>
        <w:rPr>
          <w:rFonts w:hint="eastAsia" w:ascii="宋体" w:hAnsi="宋体" w:cs="宋体"/>
          <w:color w:val="auto"/>
          <w:sz w:val="24"/>
          <w:szCs w:val="24"/>
          <w:highlight w:val="yellow"/>
          <w:lang w:val="en-US" w:eastAsia="zh-CN"/>
        </w:rPr>
        <w:t>资格</w:t>
      </w:r>
      <w:r>
        <w:rPr>
          <w:rFonts w:hint="eastAsia" w:ascii="宋体" w:hAnsi="宋体" w:cs="宋体"/>
          <w:color w:val="auto"/>
          <w:sz w:val="24"/>
          <w:szCs w:val="24"/>
          <w:highlight w:val="yellow"/>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highlight w:val="yellow"/>
        </w:rPr>
      </w:pPr>
      <w:bookmarkStart w:id="107" w:name="_Toc5251"/>
      <w:bookmarkStart w:id="108" w:name="_Toc2900"/>
      <w:bookmarkStart w:id="109" w:name="_Toc30068"/>
      <w:bookmarkStart w:id="110" w:name="_Toc8546"/>
      <w:bookmarkStart w:id="111" w:name="_Toc76373889"/>
      <w:bookmarkStart w:id="112" w:name="_Toc16925"/>
    </w:p>
    <w:p w14:paraId="007A6614">
      <w:pPr>
        <w:numPr>
          <w:ilvl w:val="0"/>
          <w:numId w:val="0"/>
        </w:numPr>
        <w:spacing w:line="400" w:lineRule="exact"/>
        <w:outlineLvl w:val="1"/>
        <w:rPr>
          <w:rFonts w:hint="eastAsia" w:cs="宋体"/>
          <w:b/>
          <w:color w:val="auto"/>
          <w:sz w:val="24"/>
          <w:highlight w:val="yellow"/>
        </w:rPr>
      </w:pPr>
      <w:bookmarkStart w:id="113" w:name="_Toc13294"/>
      <w:r>
        <w:rPr>
          <w:rFonts w:hint="eastAsia" w:cs="宋体"/>
          <w:b/>
          <w:color w:val="auto"/>
          <w:sz w:val="24"/>
          <w:highlight w:val="yellow"/>
          <w:lang w:eastAsia="zh-CN"/>
        </w:rPr>
        <w:t>三、</w:t>
      </w:r>
      <w:r>
        <w:rPr>
          <w:rFonts w:hint="eastAsia" w:cs="宋体"/>
          <w:b/>
          <w:color w:val="auto"/>
          <w:sz w:val="24"/>
          <w:highlight w:val="yellow"/>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highlight w:val="yellow"/>
        </w:rPr>
      </w:pPr>
      <w:bookmarkStart w:id="114" w:name="_Toc28228"/>
      <w:r>
        <w:rPr>
          <w:rFonts w:hint="eastAsia" w:ascii="宋体" w:hAnsi="宋体" w:eastAsia="宋体" w:cs="宋体"/>
          <w:color w:val="auto"/>
          <w:sz w:val="24"/>
          <w:szCs w:val="24"/>
          <w:highlight w:val="yellow"/>
        </w:rPr>
        <w:t>竞选人或其竞选文件出现下列情况之一者，经评审专家组讨论后，可</w:t>
      </w:r>
      <w:r>
        <w:rPr>
          <w:rFonts w:hint="eastAsia" w:ascii="宋体" w:hAnsi="宋体" w:cs="宋体"/>
          <w:color w:val="auto"/>
          <w:sz w:val="24"/>
          <w:szCs w:val="24"/>
          <w:highlight w:val="yellow"/>
          <w:lang w:val="en-US" w:eastAsia="zh-CN"/>
        </w:rPr>
        <w:t>认定为</w:t>
      </w:r>
      <w:r>
        <w:rPr>
          <w:rFonts w:hint="eastAsia" w:ascii="宋体" w:hAnsi="宋体" w:eastAsia="宋体" w:cs="宋体"/>
          <w:color w:val="auto"/>
          <w:sz w:val="24"/>
          <w:szCs w:val="24"/>
          <w:highlight w:val="yellow"/>
        </w:rPr>
        <w:t>无效竞选：</w:t>
      </w:r>
      <w:bookmarkEnd w:id="114"/>
    </w:p>
    <w:p w14:paraId="0754407D">
      <w:pPr>
        <w:snapToGrid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val="en-US" w:eastAsia="zh-CN"/>
        </w:rPr>
        <w:t>1、</w:t>
      </w:r>
      <w:r>
        <w:rPr>
          <w:rFonts w:hint="eastAsia" w:ascii="宋体" w:hAnsi="宋体" w:cs="宋体"/>
          <w:color w:val="auto"/>
          <w:sz w:val="24"/>
          <w:szCs w:val="24"/>
          <w:highlight w:val="yellow"/>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20034"/>
      <w:bookmarkStart w:id="116" w:name="_Toc27443"/>
      <w:bookmarkStart w:id="117" w:name="_Toc76373890"/>
      <w:bookmarkStart w:id="118" w:name="_Toc11654"/>
      <w:bookmarkStart w:id="119" w:name="_Toc26071"/>
      <w:bookmarkStart w:id="120" w:name="_Toc11342"/>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25199"/>
      <w:bookmarkStart w:id="123" w:name="_Toc10864"/>
      <w:bookmarkStart w:id="124" w:name="_Toc27646"/>
      <w:bookmarkStart w:id="125" w:name="_Toc76373891"/>
      <w:bookmarkStart w:id="126" w:name="_Toc20391"/>
      <w:r>
        <w:rPr>
          <w:rFonts w:hint="eastAsia" w:ascii="宋体" w:hAnsi="宋体" w:cs="宋体"/>
          <w:b/>
          <w:color w:val="auto"/>
          <w:szCs w:val="36"/>
        </w:rPr>
        <w:t xml:space="preserve">第四篇  </w:t>
      </w:r>
      <w:bookmarkStart w:id="127" w:name="_Toc258354120"/>
      <w:bookmarkStart w:id="128" w:name="_Toc349642178"/>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19409"/>
      <w:bookmarkStart w:id="135" w:name="_Toc2975"/>
      <w:bookmarkStart w:id="136" w:name="_Toc76373904"/>
      <w:bookmarkStart w:id="137" w:name="_Toc20762"/>
      <w:bookmarkStart w:id="138" w:name="_Toc10152"/>
      <w:bookmarkStart w:id="139" w:name="_Toc24088"/>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11763"/>
      <w:bookmarkStart w:id="141" w:name="_Toc76373907"/>
      <w:bookmarkStart w:id="142" w:name="_Toc7750"/>
      <w:bookmarkStart w:id="143" w:name="_Toc11892"/>
      <w:bookmarkStart w:id="144" w:name="_Toc12863"/>
      <w:bookmarkStart w:id="145" w:name="_Toc16112"/>
      <w:bookmarkStart w:id="146" w:name="_Toc25920"/>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一</w:t>
      </w:r>
      <w:r>
        <w:rPr>
          <w:rFonts w:hint="eastAsia" w:ascii="宋体" w:hAnsi="宋体" w:eastAsia="宋体" w:cs="宋体"/>
          <w:color w:val="auto"/>
          <w:kern w:val="2"/>
          <w:sz w:val="24"/>
          <w:szCs w:val="24"/>
          <w:highlight w:val="yellow"/>
          <w:lang w:val="en-US" w:eastAsia="zh-CN" w:bidi="ar-SA"/>
        </w:rPr>
        <w:t>）</w:t>
      </w:r>
      <w:r>
        <w:rPr>
          <w:rFonts w:hint="eastAsia" w:ascii="宋体" w:hAnsi="宋体" w:eastAsia="宋体" w:cs="宋体"/>
          <w:color w:val="auto"/>
          <w:sz w:val="24"/>
          <w:szCs w:val="24"/>
          <w:highlight w:val="yellow"/>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二</w:t>
      </w:r>
      <w:r>
        <w:rPr>
          <w:rFonts w:hint="eastAsia" w:ascii="宋体" w:hAnsi="宋体" w:eastAsia="宋体" w:cs="宋体"/>
          <w:color w:val="auto"/>
          <w:kern w:val="2"/>
          <w:sz w:val="24"/>
          <w:szCs w:val="24"/>
          <w:highlight w:val="yellow"/>
          <w:lang w:val="en-US" w:eastAsia="zh-CN" w:bidi="ar-SA"/>
        </w:rPr>
        <w:t>）专用设备报价表(</w:t>
      </w:r>
      <w:bookmarkStart w:id="148" w:name="OLE_LINK14"/>
      <w:r>
        <w:rPr>
          <w:rFonts w:hint="eastAsia" w:ascii="宋体" w:hAnsi="宋体" w:eastAsia="宋体" w:cs="宋体"/>
          <w:color w:val="auto"/>
          <w:kern w:val="2"/>
          <w:sz w:val="24"/>
          <w:szCs w:val="24"/>
          <w:highlight w:val="yellow"/>
          <w:lang w:val="en-US" w:eastAsia="zh-CN" w:bidi="ar-SA"/>
        </w:rPr>
        <w:t>如</w:t>
      </w:r>
      <w:bookmarkEnd w:id="148"/>
      <w:r>
        <w:rPr>
          <w:rFonts w:hint="eastAsia" w:ascii="宋体" w:hAnsi="宋体" w:eastAsia="宋体" w:cs="宋体"/>
          <w:color w:val="auto"/>
          <w:kern w:val="2"/>
          <w:sz w:val="24"/>
          <w:szCs w:val="24"/>
          <w:highlight w:val="yellow"/>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bookmarkStart w:id="149" w:name="OLE_LINK13"/>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三</w:t>
      </w:r>
      <w:r>
        <w:rPr>
          <w:rFonts w:hint="eastAsia" w:ascii="宋体" w:hAnsi="宋体" w:eastAsia="宋体" w:cs="宋体"/>
          <w:color w:val="auto"/>
          <w:kern w:val="2"/>
          <w:sz w:val="24"/>
          <w:szCs w:val="24"/>
          <w:highlight w:val="yellow"/>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3094"/>
      <w:bookmarkStart w:id="155" w:name="_Toc10063"/>
      <w:bookmarkStart w:id="156"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6"/>
      <w:bookmarkStart w:id="159" w:name="OLE_LINK9"/>
      <w:bookmarkStart w:id="160" w:name="_Toc21431"/>
      <w:bookmarkStart w:id="161" w:name="_Toc493178790"/>
      <w:bookmarkStart w:id="162" w:name="_Toc9795"/>
      <w:bookmarkStart w:id="163" w:name="_Toc76373909"/>
      <w:bookmarkStart w:id="164" w:name="_Toc27306"/>
      <w:bookmarkStart w:id="165" w:name="_Toc21830"/>
      <w:bookmarkStart w:id="166" w:name="_Toc28644"/>
      <w:bookmarkStart w:id="167" w:name="_Toc23879"/>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highlight w:val="yellow"/>
        </w:rPr>
      </w:pPr>
      <w:bookmarkStart w:id="169" w:name="OLE_LINK10"/>
      <w:r>
        <w:rPr>
          <w:rFonts w:hint="eastAsia" w:ascii="宋体" w:hAnsi="宋体" w:eastAsia="宋体" w:cs="宋体"/>
          <w:sz w:val="24"/>
          <w:szCs w:val="24"/>
          <w:highlight w:val="yellow"/>
          <w:lang w:eastAsia="zh-CN"/>
        </w:rPr>
        <w:t>（</w:t>
      </w:r>
      <w:r>
        <w:rPr>
          <w:rFonts w:hint="eastAsia" w:ascii="宋体" w:hAnsi="宋体" w:cs="宋体"/>
          <w:sz w:val="24"/>
          <w:szCs w:val="24"/>
          <w:highlight w:val="yellow"/>
          <w:lang w:val="en-US" w:eastAsia="zh-CN"/>
        </w:rPr>
        <w:t>一</w:t>
      </w:r>
      <w:r>
        <w:rPr>
          <w:rFonts w:hint="eastAsia" w:ascii="宋体" w:hAnsi="宋体" w:eastAsia="宋体" w:cs="宋体"/>
          <w:sz w:val="24"/>
          <w:szCs w:val="24"/>
          <w:highlight w:val="yellow"/>
          <w:lang w:eastAsia="zh-CN"/>
        </w:rPr>
        <w:t>）</w:t>
      </w:r>
      <w:r>
        <w:rPr>
          <w:rFonts w:hint="eastAsia" w:ascii="宋体" w:hAnsi="宋体" w:eastAsia="宋体" w:cs="宋体"/>
          <w:sz w:val="24"/>
          <w:szCs w:val="24"/>
          <w:highlight w:val="yellow"/>
        </w:rPr>
        <w:t>开标现场最终报价表</w:t>
      </w:r>
    </w:p>
    <w:bookmarkEnd w:id="169"/>
    <w:p w14:paraId="76B976A1">
      <w:pPr>
        <w:pStyle w:val="2"/>
        <w:numPr>
          <w:ilvl w:val="0"/>
          <w:numId w:val="0"/>
        </w:numPr>
        <w:rPr>
          <w:rFonts w:hint="eastAsia" w:ascii="宋体" w:hAnsi="宋体" w:eastAsia="宋体" w:cs="宋体"/>
          <w:color w:val="000000"/>
          <w:sz w:val="24"/>
          <w:szCs w:val="24"/>
          <w:highlight w:val="yellow"/>
          <w:lang w:eastAsia="zh-CN"/>
        </w:rPr>
      </w:pPr>
      <w:r>
        <w:rPr>
          <w:rFonts w:hint="eastAsia"/>
          <w:highlight w:val="yellow"/>
          <w:lang w:val="en-US" w:eastAsia="zh-CN"/>
        </w:rPr>
        <w:t xml:space="preserve">     注：</w:t>
      </w:r>
      <w:r>
        <w:rPr>
          <w:rFonts w:hint="eastAsia" w:ascii="宋体" w:hAnsi="宋体" w:eastAsia="宋体" w:cs="宋体"/>
          <w:color w:val="000000"/>
          <w:sz w:val="24"/>
          <w:szCs w:val="24"/>
          <w:highlight w:val="yellow"/>
          <w:lang w:val="en-US" w:eastAsia="zh-CN"/>
        </w:rPr>
        <w:t>“</w:t>
      </w:r>
      <w:r>
        <w:rPr>
          <w:rFonts w:hint="eastAsia" w:ascii="宋体" w:hAnsi="宋体" w:eastAsia="宋体" w:cs="宋体"/>
          <w:color w:val="000000"/>
          <w:sz w:val="24"/>
          <w:szCs w:val="24"/>
          <w:highlight w:val="yellow"/>
        </w:rPr>
        <w:t>开标现场最终报价表</w:t>
      </w:r>
      <w:r>
        <w:rPr>
          <w:rFonts w:hint="eastAsia" w:ascii="宋体" w:hAnsi="宋体" w:eastAsia="宋体" w:cs="宋体"/>
          <w:color w:val="000000"/>
          <w:sz w:val="24"/>
          <w:szCs w:val="24"/>
          <w:highlight w:val="yellow"/>
          <w:lang w:val="en-US" w:eastAsia="zh-CN"/>
        </w:rPr>
        <w:t>”</w:t>
      </w:r>
      <w:r>
        <w:rPr>
          <w:rFonts w:hint="default" w:ascii="宋体" w:hAnsi="宋体" w:eastAsia="宋体" w:cs="宋体"/>
          <w:color w:val="000000"/>
          <w:sz w:val="24"/>
          <w:szCs w:val="24"/>
          <w:highlight w:val="yellow"/>
          <w:lang w:val="en-US" w:eastAsia="zh-CN"/>
        </w:rPr>
        <w:t>须</w:t>
      </w:r>
      <w:r>
        <w:rPr>
          <w:rFonts w:hint="default" w:ascii="宋体" w:hAnsi="宋体" w:eastAsia="宋体" w:cs="宋体"/>
          <w:color w:val="000000"/>
          <w:sz w:val="24"/>
          <w:szCs w:val="24"/>
          <w:highlight w:val="yellow"/>
        </w:rPr>
        <w:t>与报名时提交的“耗材报名表”的中载明的产品信息（含产品注册证名称、规格型号、顺序等）保持一致</w:t>
      </w:r>
      <w:r>
        <w:rPr>
          <w:rFonts w:hint="eastAsia" w:ascii="宋体" w:hAnsi="宋体" w:eastAsia="宋体" w:cs="宋体"/>
          <w:color w:val="000000"/>
          <w:sz w:val="24"/>
          <w:szCs w:val="24"/>
          <w:highlight w:val="yellow"/>
          <w:lang w:eastAsia="zh-CN"/>
        </w:rPr>
        <w:t>。</w:t>
      </w:r>
      <w:r>
        <w:rPr>
          <w:rFonts w:hint="eastAsia" w:ascii="宋体" w:hAnsi="宋体" w:eastAsia="宋体" w:cs="宋体"/>
          <w:b/>
          <w:bCs/>
          <w:color w:val="000000"/>
          <w:sz w:val="24"/>
          <w:szCs w:val="24"/>
          <w:highlight w:val="yellow"/>
          <w:lang w:val="en-US" w:eastAsia="zh-CN"/>
        </w:rPr>
        <w:t>“</w:t>
      </w:r>
      <w:r>
        <w:rPr>
          <w:rFonts w:hint="eastAsia" w:ascii="宋体" w:hAnsi="宋体" w:eastAsia="宋体" w:cs="宋体"/>
          <w:b/>
          <w:bCs/>
          <w:color w:val="000000"/>
          <w:sz w:val="24"/>
          <w:szCs w:val="24"/>
          <w:highlight w:val="yellow"/>
        </w:rPr>
        <w:t>开标现场最终报价表</w:t>
      </w:r>
      <w:r>
        <w:rPr>
          <w:rFonts w:hint="eastAsia" w:ascii="宋体" w:hAnsi="宋体" w:eastAsia="宋体" w:cs="宋体"/>
          <w:b/>
          <w:bCs/>
          <w:color w:val="000000"/>
          <w:sz w:val="24"/>
          <w:szCs w:val="24"/>
          <w:highlight w:val="yellow"/>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5"/>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
        <w:rPr>
          <w:rFonts w:hint="eastAsia" w:ascii="宋体" w:hAnsi="宋体" w:eastAsia="宋体" w:cs="宋体"/>
          <w:kern w:val="2"/>
          <w:sz w:val="24"/>
          <w:szCs w:val="24"/>
          <w:lang w:val="en-US" w:eastAsia="zh-CN" w:bidi="ar-SA"/>
        </w:rPr>
      </w:pPr>
    </w:p>
    <w:p w14:paraId="444CD773">
      <w:pPr>
        <w:pStyle w:val="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7"/>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492721039"/>
      <w:bookmarkStart w:id="177" w:name="_Toc16487"/>
      <w:bookmarkStart w:id="178" w:name="_Toc20258"/>
      <w:bookmarkStart w:id="179" w:name="_Toc12647"/>
      <w:bookmarkStart w:id="180" w:name="_Toc411"/>
      <w:bookmarkStart w:id="181" w:name="_Toc20875"/>
      <w:bookmarkStart w:id="182" w:name="_Toc76373910"/>
      <w:bookmarkStart w:id="183"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4250"/>
      <w:bookmarkStart w:id="186" w:name="_Toc16151"/>
      <w:bookmarkStart w:id="187" w:name="_Toc20605"/>
      <w:bookmarkStart w:id="188" w:name="_Toc76373912"/>
      <w:bookmarkStart w:id="189" w:name="_Toc6217"/>
      <w:bookmarkStart w:id="190" w:name="_Toc8925"/>
      <w:bookmarkStart w:id="191" w:name="_Toc492721038"/>
      <w:bookmarkStart w:id="192" w:name="_Toc493178793"/>
      <w:bookmarkStart w:id="193" w:name="_Toc19291"/>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7A5E871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EB89F3A-B7D4-4428-806B-DFDB12BF4906}"/>
  </w:font>
  <w:font w:name="黑体">
    <w:panose1 w:val="02010609060101010101"/>
    <w:charset w:val="86"/>
    <w:family w:val="auto"/>
    <w:pitch w:val="default"/>
    <w:sig w:usb0="800002BF" w:usb1="38CF7CFA" w:usb2="00000016" w:usb3="00000000" w:csb0="00040001" w:csb1="00000000"/>
    <w:embedRegular r:id="rId2" w:fontKey="{794A9E1F-551F-4731-9C2E-A851DCC719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3FD6900D-8E34-4D57-8636-CA1C11B43106}"/>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90235FB2-18F2-4411-B8C2-E6C14ED1C192}"/>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59B2DA40-AADC-47BE-8DB9-CE769D539E78}"/>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55C9FBB0-63D4-4784-A07E-4A76BEB7E49C}"/>
  </w:font>
  <w:font w:name="方正黑体_GBK">
    <w:panose1 w:val="03000509000000000000"/>
    <w:charset w:val="86"/>
    <w:family w:val="script"/>
    <w:pitch w:val="default"/>
    <w:sig w:usb0="00000001" w:usb1="080E0000" w:usb2="00000000" w:usb3="00000000" w:csb0="00040000" w:csb1="00000000"/>
    <w:embedRegular r:id="rId7" w:fontKey="{121C03DC-A7A0-47CB-8A7D-3004B3E9F63D}"/>
  </w:font>
  <w:font w:name="方正小标宋_GBK">
    <w:panose1 w:val="03000509000000000000"/>
    <w:charset w:val="86"/>
    <w:family w:val="script"/>
    <w:pitch w:val="default"/>
    <w:sig w:usb0="00000001" w:usb1="080E0000" w:usb2="00000000" w:usb3="00000000" w:csb0="00040000" w:csb1="00000000"/>
    <w:embedRegular r:id="rId8" w:fontKey="{C237A2B0-D298-4334-9A61-64CF3F9C4212}"/>
  </w:font>
  <w:font w:name="微软雅黑">
    <w:panose1 w:val="020B0503020204020204"/>
    <w:charset w:val="86"/>
    <w:family w:val="swiss"/>
    <w:pitch w:val="default"/>
    <w:sig w:usb0="80000287" w:usb1="2ACF3C50" w:usb2="00000016" w:usb3="00000000" w:csb0="0004001F" w:csb1="00000000"/>
    <w:embedRegular r:id="rId9" w:fontKey="{C89E5000-10E9-46DC-AC4B-E0BDE35CF967}"/>
  </w:font>
  <w:font w:name="仿宋">
    <w:panose1 w:val="02010609060101010101"/>
    <w:charset w:val="86"/>
    <w:family w:val="modern"/>
    <w:pitch w:val="default"/>
    <w:sig w:usb0="800002BF" w:usb1="38CF7CFA" w:usb2="00000016" w:usb3="00000000" w:csb0="00040001" w:csb1="00000000"/>
    <w:embedRegular r:id="rId10" w:fontKey="{EA9B5820-03A7-4454-BC88-B63651B09A82}"/>
  </w:font>
  <w:font w:name="WPSEMBED61">
    <w:panose1 w:val="03000509000000000000"/>
    <w:charset w:val="86"/>
    <w:family w:val="auto"/>
    <w:pitch w:val="default"/>
    <w:sig w:usb0="00000001" w:usb1="080E0000" w:usb2="00000000" w:usb3="00000000" w:csb0="00040000" w:csb1="00000000"/>
  </w:font>
  <w:font w:name="WPSEMBED62">
    <w:panose1 w:val="03000509000000000000"/>
    <w:charset w:val="86"/>
    <w:family w:val="auto"/>
    <w:pitch w:val="default"/>
    <w:sig w:usb0="00000001" w:usb1="080E0000" w:usb2="00000000" w:usb3="00000000" w:csb0="00040000" w:csb1="00000000"/>
  </w:font>
  <w:font w:name="WPSEMBED59">
    <w:panose1 w:val="02010609030101010101"/>
    <w:charset w:val="86"/>
    <w:family w:val="auto"/>
    <w:pitch w:val="default"/>
    <w:sig w:usb0="00000001" w:usb1="080E0000" w:usb2="00000000" w:usb3="00000000" w:csb0="00040000" w:csb1="00000000"/>
  </w:font>
  <w:font w:name="WPSEMBED63">
    <w:panose1 w:val="03000509000000000000"/>
    <w:charset w:val="86"/>
    <w:family w:val="auto"/>
    <w:pitch w:val="default"/>
    <w:sig w:usb0="00000001" w:usb1="080E0000" w:usb2="00000000" w:usb3="00000000" w:csb0="00040000" w:csb1="00000000"/>
  </w:font>
  <w:font w:name="WPSEMBED60">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D1D2F"/>
    <w:rsid w:val="02FE20CD"/>
    <w:rsid w:val="03205937"/>
    <w:rsid w:val="0328467E"/>
    <w:rsid w:val="035C3044"/>
    <w:rsid w:val="03A644DC"/>
    <w:rsid w:val="03B24C65"/>
    <w:rsid w:val="03B7227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B7AC2"/>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B502AE"/>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CF313E"/>
    <w:rsid w:val="12DA4048"/>
    <w:rsid w:val="12F62DC0"/>
    <w:rsid w:val="135B2C24"/>
    <w:rsid w:val="135D699C"/>
    <w:rsid w:val="13715463"/>
    <w:rsid w:val="13E52DC4"/>
    <w:rsid w:val="13F02804"/>
    <w:rsid w:val="140D0766"/>
    <w:rsid w:val="143D576D"/>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43AA6"/>
    <w:rsid w:val="1A952B54"/>
    <w:rsid w:val="1A9768B9"/>
    <w:rsid w:val="1A99565E"/>
    <w:rsid w:val="1AA82C35"/>
    <w:rsid w:val="1AC54203"/>
    <w:rsid w:val="1B1B26AB"/>
    <w:rsid w:val="1B7900EB"/>
    <w:rsid w:val="1B972C67"/>
    <w:rsid w:val="1BA22B7C"/>
    <w:rsid w:val="1BC02864"/>
    <w:rsid w:val="1BC2379D"/>
    <w:rsid w:val="1BD45152"/>
    <w:rsid w:val="1BF14AB5"/>
    <w:rsid w:val="1BF41E67"/>
    <w:rsid w:val="1BFB7B06"/>
    <w:rsid w:val="1C273FEB"/>
    <w:rsid w:val="1C5841A4"/>
    <w:rsid w:val="1C782A98"/>
    <w:rsid w:val="1C876497"/>
    <w:rsid w:val="1C9C4DED"/>
    <w:rsid w:val="1CAE4714"/>
    <w:rsid w:val="1CCD5614"/>
    <w:rsid w:val="1CE75D6B"/>
    <w:rsid w:val="1CF218F5"/>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EE36E3"/>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5C5315"/>
    <w:rsid w:val="2B723D14"/>
    <w:rsid w:val="2B8B0759"/>
    <w:rsid w:val="2B9B21BC"/>
    <w:rsid w:val="2BA52AAD"/>
    <w:rsid w:val="2BA91CBB"/>
    <w:rsid w:val="2BB51860"/>
    <w:rsid w:val="2BB62C95"/>
    <w:rsid w:val="2BDE3F9A"/>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615F62"/>
    <w:rsid w:val="318850D4"/>
    <w:rsid w:val="31AD2A0C"/>
    <w:rsid w:val="31B934DF"/>
    <w:rsid w:val="31BF65A8"/>
    <w:rsid w:val="31C0486E"/>
    <w:rsid w:val="32240245"/>
    <w:rsid w:val="322A64C1"/>
    <w:rsid w:val="322E3DE8"/>
    <w:rsid w:val="324F3206"/>
    <w:rsid w:val="32777805"/>
    <w:rsid w:val="328C18BE"/>
    <w:rsid w:val="32FD2138"/>
    <w:rsid w:val="330F782B"/>
    <w:rsid w:val="331C3D26"/>
    <w:rsid w:val="33242BDA"/>
    <w:rsid w:val="3344118A"/>
    <w:rsid w:val="33585719"/>
    <w:rsid w:val="33641D43"/>
    <w:rsid w:val="33871A8A"/>
    <w:rsid w:val="338F274A"/>
    <w:rsid w:val="33945C1B"/>
    <w:rsid w:val="33AA1331"/>
    <w:rsid w:val="34201B1F"/>
    <w:rsid w:val="34500549"/>
    <w:rsid w:val="34620C63"/>
    <w:rsid w:val="34655258"/>
    <w:rsid w:val="34780FBD"/>
    <w:rsid w:val="34D32B0A"/>
    <w:rsid w:val="34E765FA"/>
    <w:rsid w:val="35294D38"/>
    <w:rsid w:val="354237EC"/>
    <w:rsid w:val="355234B6"/>
    <w:rsid w:val="3556260B"/>
    <w:rsid w:val="35812566"/>
    <w:rsid w:val="35D02BA5"/>
    <w:rsid w:val="35EA3CCD"/>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6367FB"/>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D15EAF"/>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134555"/>
    <w:rsid w:val="4CC72D98"/>
    <w:rsid w:val="4CD90133"/>
    <w:rsid w:val="4CE83F1B"/>
    <w:rsid w:val="4D0F6379"/>
    <w:rsid w:val="4D13189E"/>
    <w:rsid w:val="4D5D07CE"/>
    <w:rsid w:val="4DBB2C37"/>
    <w:rsid w:val="4DBE4874"/>
    <w:rsid w:val="4DBF7158"/>
    <w:rsid w:val="4DDD755C"/>
    <w:rsid w:val="4E0E0A20"/>
    <w:rsid w:val="4E326C84"/>
    <w:rsid w:val="4E6A0F63"/>
    <w:rsid w:val="4E6D76D3"/>
    <w:rsid w:val="4E9514C2"/>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DD601F"/>
    <w:rsid w:val="55F3310C"/>
    <w:rsid w:val="55F34962"/>
    <w:rsid w:val="56030598"/>
    <w:rsid w:val="56773459"/>
    <w:rsid w:val="567B67FA"/>
    <w:rsid w:val="5692745A"/>
    <w:rsid w:val="56A569FC"/>
    <w:rsid w:val="56C90DDF"/>
    <w:rsid w:val="56E10D84"/>
    <w:rsid w:val="576839E9"/>
    <w:rsid w:val="57805D82"/>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571F4C"/>
    <w:rsid w:val="76782096"/>
    <w:rsid w:val="769A5A66"/>
    <w:rsid w:val="76AA29C3"/>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BE65258"/>
    <w:rsid w:val="7C020FB3"/>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352</Words>
  <Characters>363</Characters>
  <Lines>101</Lines>
  <Paragraphs>28</Paragraphs>
  <TotalTime>3</TotalTime>
  <ScaleCrop>false</ScaleCrop>
  <LinksUpToDate>false</LinksUpToDate>
  <CharactersWithSpaces>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右耳进</cp:lastModifiedBy>
  <cp:lastPrinted>2025-05-22T03:57:00Z</cp:lastPrinted>
  <dcterms:modified xsi:type="dcterms:W3CDTF">2026-07-24T03:30:02Z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eyJoZGlkIjoiMjU2ZTM3ZDFmZjUwMzFiZjYzMmM3NGE2NjI1YTk3YTgiLCJ1c2VySWQiOiI2NzQ3MDY3ODMifQ==</vt:lpwstr>
  </property>
</Properties>
</file>