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31066"/>
      <w:bookmarkStart w:id="2" w:name="_Toc76373863"/>
      <w:bookmarkStart w:id="3" w:name="_Toc1304"/>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22435"/>
      <w:bookmarkStart w:id="9" w:name="_Toc76373864"/>
      <w:bookmarkStart w:id="10" w:name="_Toc5909"/>
      <w:bookmarkStart w:id="11" w:name="_Toc15376"/>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3B32E6F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项目名称：一次性吸引灌流导管</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76373865"/>
            <w:bookmarkStart w:id="16" w:name="_Toc5838"/>
            <w:bookmarkStart w:id="17" w:name="_Toc22129"/>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一次性吸引灌流导管</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eastAsia="宋体" w:cs="宋体"/>
                <w:color w:val="auto"/>
                <w:kern w:val="2"/>
                <w:sz w:val="24"/>
                <w:szCs w:val="24"/>
                <w:lang w:val="en-US" w:eastAsia="zh-CN" w:bidi="ar-SA"/>
              </w:rPr>
              <w:t>胃肠外科、妇科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76373866"/>
      <w:bookmarkStart w:id="20" w:name="_Toc25496"/>
      <w:bookmarkStart w:id="21" w:name="_Toc10137"/>
      <w:bookmarkStart w:id="22" w:name="_Toc3434"/>
      <w:bookmarkStart w:id="23" w:name="_Toc30358"/>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胃肠外科、妇科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胃肠外科、妇科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胃肠外科、妇科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胃肠外科、妇科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4033"/>
      <w:bookmarkStart w:id="41" w:name="_Toc14224"/>
      <w:bookmarkStart w:id="42" w:name="_Toc9714"/>
      <w:bookmarkStart w:id="43" w:name="_Toc25272"/>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2599"/>
      <w:bookmarkStart w:id="49" w:name="_Toc76373874"/>
      <w:bookmarkStart w:id="50" w:name="_Toc13391"/>
      <w:bookmarkStart w:id="51" w:name="_Toc3153"/>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30465"/>
      <w:bookmarkStart w:id="55" w:name="_Toc6355"/>
      <w:bookmarkStart w:id="56" w:name="_Toc29620"/>
      <w:bookmarkStart w:id="57" w:name="_Toc29225"/>
      <w:bookmarkStart w:id="58" w:name="_Toc76373876"/>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1E5CD1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用途：用于内窥镜手术中进行冲洗组织和抽吸废液。</w:t>
      </w:r>
    </w:p>
    <w:p w14:paraId="4A96DC5A">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1.产品主要由：冲洗管、连接管、冲洗引流头、附件控制装置等组成。</w:t>
      </w:r>
    </w:p>
    <w:p w14:paraId="5F89486C">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 接触人体部分应符合GBT16886.1-2011医疗生物学评价 第1部分：风险管理过和中的评价与试验中的损伤表面短暂接触生物学试验要求。</w:t>
      </w:r>
    </w:p>
    <w:p w14:paraId="0658A60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 冲洗液量有两档可调：</w:t>
      </w:r>
    </w:p>
    <w:p w14:paraId="66193382">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Ⅰ档冲洗液量：100mL/min-470mL/min。</w:t>
      </w:r>
    </w:p>
    <w:p w14:paraId="17B2076B">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Ⅱ档冲洗液量：200mL/min-590mL/min。</w:t>
      </w:r>
    </w:p>
    <w:p w14:paraId="5CA6B2F4">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4.控制线长度提供2.0-2.6米多种规格可选。</w:t>
      </w:r>
    </w:p>
    <w:p w14:paraId="1ECFBC9C">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 冲、吸双管隔离，避免交叉污染，冲、吸同时进行快速吸除手术过程中产生的烟雾、渗液、血水、组织残渣，暴露术野，使腔镜呈像更清晰。</w:t>
      </w:r>
    </w:p>
    <w:p w14:paraId="4A2A34E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 冲洗管前端带≥2cm防滑涂层（或绝缘疏水涂层），使钝性剥离时更好操作，回吸管末端侧孔有效防止管口堵塞，避免对组织造成损伤。</w:t>
      </w:r>
    </w:p>
    <w:p w14:paraId="63E3C6D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 回吸力度变速可调或流量多档可调，维持气腹稳定，快速除烟。</w:t>
      </w:r>
    </w:p>
    <w:p w14:paraId="1901D17F">
      <w:pPr>
        <w:pStyle w:val="31"/>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8.自动加压冲洗或自带动力加压冲洗，压力均衡稳定，术区清洗彻底，能实现术后“无管化”。</w:t>
      </w:r>
      <w:bookmarkStart w:id="192" w:name="_GoBack"/>
      <w:bookmarkEnd w:id="192"/>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31843"/>
      <w:bookmarkStart w:id="64" w:name="_Toc76373878"/>
      <w:bookmarkStart w:id="65" w:name="_Toc17524"/>
      <w:bookmarkStart w:id="66" w:name="_Toc7794"/>
      <w:bookmarkStart w:id="67" w:name="_Toc24122"/>
      <w:bookmarkStart w:id="68" w:name="_Toc4791"/>
      <w:bookmarkStart w:id="69" w:name="_Toc17944"/>
      <w:bookmarkStart w:id="70" w:name="_Toc2072"/>
      <w:bookmarkStart w:id="71" w:name="_Toc15650"/>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5959"/>
      <w:bookmarkStart w:id="75" w:name="_Toc76373879"/>
      <w:bookmarkStart w:id="76" w:name="_Toc29836"/>
      <w:bookmarkStart w:id="77" w:name="_Toc22561"/>
      <w:bookmarkStart w:id="78" w:name="_Toc30551"/>
      <w:bookmarkStart w:id="79" w:name="_Toc9339"/>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12384"/>
      <w:bookmarkStart w:id="84" w:name="_Toc2258"/>
      <w:bookmarkStart w:id="85" w:name="_Toc20772"/>
      <w:bookmarkStart w:id="86" w:name="_Toc76373885"/>
      <w:bookmarkStart w:id="87" w:name="_Toc27893"/>
      <w:bookmarkStart w:id="88" w:name="_Toc20263"/>
      <w:bookmarkStart w:id="89" w:name="_Toc27737"/>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2712"/>
      <w:bookmarkStart w:id="91" w:name="_Toc76373886"/>
      <w:bookmarkStart w:id="92" w:name="_Toc23699"/>
      <w:bookmarkStart w:id="93" w:name="_Toc7115"/>
      <w:bookmarkStart w:id="94" w:name="_Toc11052"/>
      <w:bookmarkStart w:id="95" w:name="_Toc2818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5535"/>
      <w:bookmarkStart w:id="98" w:name="_Toc31293"/>
      <w:bookmarkStart w:id="99" w:name="_Toc26754"/>
      <w:bookmarkStart w:id="100" w:name="_Toc13585"/>
      <w:bookmarkStart w:id="101" w:name="_Toc9147"/>
      <w:bookmarkStart w:id="102" w:name="_Toc19809"/>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16925"/>
      <w:bookmarkStart w:id="106" w:name="_Toc30068"/>
      <w:bookmarkStart w:id="107" w:name="_Toc2900"/>
      <w:bookmarkStart w:id="108" w:name="_Toc76373889"/>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76373890"/>
      <w:bookmarkStart w:id="113" w:name="_Toc11342"/>
      <w:bookmarkStart w:id="114" w:name="_Toc11654"/>
      <w:bookmarkStart w:id="115" w:name="_Toc26071"/>
      <w:bookmarkStart w:id="116" w:name="_Toc20034"/>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10864"/>
      <w:bookmarkStart w:id="121" w:name="_Toc27646"/>
      <w:bookmarkStart w:id="122" w:name="_Toc25199"/>
      <w:bookmarkStart w:id="123" w:name="_Toc763738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4088"/>
      <w:bookmarkStart w:id="132" w:name="_Toc2975"/>
      <w:bookmarkStart w:id="133" w:name="_Toc19409"/>
      <w:bookmarkStart w:id="134" w:name="_Toc76373904"/>
      <w:bookmarkStart w:id="135" w:name="_Toc20762"/>
      <w:bookmarkStart w:id="136" w:name="_Toc1015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12863"/>
      <w:bookmarkStart w:id="139" w:name="_Toc25920"/>
      <w:bookmarkStart w:id="140" w:name="_Toc11892"/>
      <w:bookmarkStart w:id="141" w:name="_Toc76373907"/>
      <w:bookmarkStart w:id="142" w:name="_Toc7750"/>
      <w:bookmarkStart w:id="143" w:name="_Toc1611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_Toc15483"/>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431"/>
      <w:bookmarkStart w:id="165" w:name="_Toc76373909"/>
      <w:bookmarkStart w:id="166" w:name="_Toc27306"/>
      <w:bookmarkStart w:id="167" w:name="_Toc493178790"/>
      <w:bookmarkStart w:id="168" w:name="_Toc21830"/>
      <w:bookmarkStart w:id="169" w:name="_Toc9795"/>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76373910"/>
      <w:bookmarkStart w:id="174" w:name="_Toc20258"/>
      <w:bookmarkStart w:id="175" w:name="_Toc20875"/>
      <w:bookmarkStart w:id="176" w:name="_Toc411"/>
      <w:bookmarkStart w:id="177" w:name="_Toc12647"/>
      <w:bookmarkStart w:id="178" w:name="_Toc492721039"/>
      <w:bookmarkStart w:id="179" w:name="_Toc493178791"/>
      <w:bookmarkStart w:id="180"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20605"/>
      <w:bookmarkStart w:id="183" w:name="_Toc493178793"/>
      <w:bookmarkStart w:id="184" w:name="_Toc4250"/>
      <w:bookmarkStart w:id="185" w:name="_Toc492721038"/>
      <w:bookmarkStart w:id="186" w:name="_Toc6217"/>
      <w:bookmarkStart w:id="187" w:name="_Toc19291"/>
      <w:bookmarkStart w:id="188" w:name="_Toc76373912"/>
      <w:bookmarkStart w:id="189" w:name="_Toc16151"/>
      <w:bookmarkStart w:id="190" w:name="_Toc892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FE1E3C3-2DF7-4570-BF79-3E551253A202}"/>
  </w:font>
  <w:font w:name="黑体">
    <w:panose1 w:val="02010609060101010101"/>
    <w:charset w:val="86"/>
    <w:family w:val="auto"/>
    <w:pitch w:val="default"/>
    <w:sig w:usb0="800002BF" w:usb1="38CF7CFA" w:usb2="00000016" w:usb3="00000000" w:csb0="00040001" w:csb1="00000000"/>
    <w:embedRegular r:id="rId2" w:fontKey="{C06B5187-CC6E-4766-85E8-0D7C0C5DF3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94D0EB53-2FA9-4860-BDAE-DFB5D415F637}"/>
  </w:font>
  <w:font w:name="Arial Unicode MS">
    <w:panose1 w:val="020B0604020202020204"/>
    <w:charset w:val="86"/>
    <w:family w:val="roman"/>
    <w:pitch w:val="default"/>
    <w:sig w:usb0="FFFFFFFF" w:usb1="E9FFFFFF" w:usb2="0000003F" w:usb3="00000000" w:csb0="603F01FF" w:csb1="FFFF0000"/>
    <w:embedRegular r:id="rId4" w:fontKey="{F0B24E54-2B9D-44F3-9D88-B6D158DD5A01}"/>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1EBF5BBF-D841-4507-A81E-D14B6106D01E}"/>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F3B4DEBC-916F-4EE4-928F-6EBCF4CA3544}"/>
  </w:font>
  <w:font w:name="方正黑体_GBK">
    <w:panose1 w:val="03000509000000000000"/>
    <w:charset w:val="86"/>
    <w:family w:val="script"/>
    <w:pitch w:val="default"/>
    <w:sig w:usb0="00000001" w:usb1="080E0000" w:usb2="00000000" w:usb3="00000000" w:csb0="00040000" w:csb1="00000000"/>
    <w:embedRegular r:id="rId7" w:fontKey="{F65BE797-06D8-4EC4-B025-498BF5CA8A50}"/>
  </w:font>
  <w:font w:name="方正小标宋_GBK">
    <w:panose1 w:val="03000509000000000000"/>
    <w:charset w:val="86"/>
    <w:family w:val="script"/>
    <w:pitch w:val="default"/>
    <w:sig w:usb0="00000001" w:usb1="080E0000" w:usb2="00000000" w:usb3="00000000" w:csb0="00040000" w:csb1="00000000"/>
    <w:embedRegular r:id="rId8" w:fontKey="{2E98D5D1-096C-4560-B0E8-D85B53168A41}"/>
  </w:font>
  <w:font w:name="微软雅黑">
    <w:panose1 w:val="020B0503020204020204"/>
    <w:charset w:val="86"/>
    <w:family w:val="swiss"/>
    <w:pitch w:val="default"/>
    <w:sig w:usb0="80000287" w:usb1="2ACF3C50" w:usb2="00000016" w:usb3="00000000" w:csb0="0004001F" w:csb1="00000000"/>
    <w:embedRegular r:id="rId9" w:fontKey="{4308CA5C-8D49-46D6-8A6B-8356B34764F5}"/>
  </w:font>
  <w:font w:name="仿宋">
    <w:panose1 w:val="02010609060101010101"/>
    <w:charset w:val="86"/>
    <w:family w:val="modern"/>
    <w:pitch w:val="default"/>
    <w:sig w:usb0="800002BF" w:usb1="38CF7CFA" w:usb2="00000016" w:usb3="00000000" w:csb0="00040001" w:csb1="00000000"/>
    <w:embedRegular r:id="rId10" w:fontKey="{B99A2A22-CBE5-47A3-B3AF-F59A861C7033}"/>
  </w:font>
  <w:font w:name="WPSEMBED28">
    <w:panose1 w:val="03000509000000000000"/>
    <w:charset w:val="86"/>
    <w:family w:val="auto"/>
    <w:pitch w:val="default"/>
    <w:sig w:usb0="00000001" w:usb1="080E0000" w:usb2="00000000" w:usb3="00000000" w:csb0="00040000" w:csb1="00000000"/>
  </w:font>
  <w:font w:name="WPSEMBED29">
    <w:panose1 w:val="03000509000000000000"/>
    <w:charset w:val="86"/>
    <w:family w:val="auto"/>
    <w:pitch w:val="default"/>
    <w:sig w:usb0="00000001" w:usb1="080E0000" w:usb2="00000000" w:usb3="00000000" w:csb0="00040000" w:csb1="00000000"/>
  </w:font>
  <w:font w:name="WPSEMBED26">
    <w:panose1 w:val="02010609030101010101"/>
    <w:charset w:val="86"/>
    <w:family w:val="auto"/>
    <w:pitch w:val="default"/>
    <w:sig w:usb0="00000001" w:usb1="080E0000" w:usb2="00000000" w:usb3="00000000" w:csb0="00040000" w:csb1="00000000"/>
  </w:font>
  <w:font w:name="WPSEMBED30">
    <w:panose1 w:val="03000509000000000000"/>
    <w:charset w:val="86"/>
    <w:family w:val="auto"/>
    <w:pitch w:val="default"/>
    <w:sig w:usb0="00000001" w:usb1="080E0000" w:usb2="00000000" w:usb3="00000000" w:csb0="00040000" w:csb1="00000000"/>
  </w:font>
  <w:font w:name="WPSEMBED2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E35CAA"/>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5159</Words>
  <Characters>5278</Characters>
  <Lines>101</Lines>
  <Paragraphs>28</Paragraphs>
  <TotalTime>0</TotalTime>
  <ScaleCrop>false</ScaleCrop>
  <LinksUpToDate>false</LinksUpToDate>
  <CharactersWithSpaces>5386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2026-07-25T10:54:07Z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