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304"/>
      <w:bookmarkStart w:id="2" w:name="_Toc31066"/>
      <w:bookmarkStart w:id="3" w:name="_Toc76373863"/>
      <w:bookmarkStart w:id="4" w:name="_Toc10059"/>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76373864"/>
      <w:bookmarkStart w:id="9" w:name="_Toc28264"/>
      <w:bookmarkStart w:id="10" w:name="_Toc15376"/>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i w:val="0"/>
          <w:iCs w:val="0"/>
          <w:color w:val="000000"/>
          <w:kern w:val="0"/>
          <w:sz w:val="22"/>
          <w:szCs w:val="22"/>
          <w:u w:val="none"/>
          <w:lang w:val="en-US" w:eastAsia="zh-CN" w:bidi="ar"/>
        </w:rPr>
        <w:t>过氧化氢气体灭菌包内化学指示卡</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过氧化氢低温灭菌生物指示剂及配套生物阅读器</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蛋白检测液体套装及配套</w:t>
      </w:r>
      <w:r>
        <w:rPr>
          <w:rFonts w:hint="eastAsia" w:ascii="宋体" w:hAnsi="宋体" w:cs="宋体"/>
          <w:i w:val="0"/>
          <w:iCs w:val="0"/>
          <w:color w:val="000000"/>
          <w:kern w:val="0"/>
          <w:sz w:val="22"/>
          <w:szCs w:val="22"/>
          <w:u w:val="none"/>
          <w:lang w:val="en-US" w:eastAsia="zh-CN" w:bidi="ar"/>
        </w:rPr>
        <w:t>设备</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5838"/>
            <w:bookmarkStart w:id="16" w:name="_Toc18060"/>
            <w:bookmarkStart w:id="17" w:name="_Toc76373865"/>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过氧化氢气体灭菌包内化学指示卡</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消毒供应中心</w:t>
            </w:r>
          </w:p>
        </w:tc>
      </w:tr>
      <w:tr w14:paraId="1E0E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C8952AD">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33F4EB58">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过氧化氢低温灭菌生物指示剂及配套生物阅读器</w:t>
            </w:r>
          </w:p>
        </w:tc>
        <w:tc>
          <w:tcPr>
            <w:tcW w:w="1485" w:type="dxa"/>
            <w:shd w:val="clear" w:color="auto" w:fill="auto"/>
            <w:noWrap w:val="0"/>
            <w:vAlign w:val="center"/>
          </w:tcPr>
          <w:p w14:paraId="3440B06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6E4D045">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67312C56">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消毒供应中心</w:t>
            </w:r>
          </w:p>
        </w:tc>
      </w:tr>
      <w:tr w14:paraId="005F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B3BF604">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包三</w:t>
            </w:r>
          </w:p>
        </w:tc>
        <w:tc>
          <w:tcPr>
            <w:tcW w:w="2298" w:type="dxa"/>
            <w:shd w:val="clear" w:color="auto" w:fill="auto"/>
            <w:noWrap w:val="0"/>
            <w:vAlign w:val="center"/>
          </w:tcPr>
          <w:p w14:paraId="07A2A13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蛋白检测液体套装及配套</w:t>
            </w:r>
            <w:r>
              <w:rPr>
                <w:rFonts w:hint="eastAsia" w:ascii="宋体" w:hAnsi="宋体" w:cs="宋体"/>
                <w:i w:val="0"/>
                <w:iCs w:val="0"/>
                <w:color w:val="000000"/>
                <w:kern w:val="0"/>
                <w:sz w:val="22"/>
                <w:szCs w:val="22"/>
                <w:u w:val="none"/>
                <w:lang w:val="en-US" w:eastAsia="zh-CN" w:bidi="ar"/>
              </w:rPr>
              <w:t>设备</w:t>
            </w:r>
          </w:p>
        </w:tc>
        <w:tc>
          <w:tcPr>
            <w:tcW w:w="1485" w:type="dxa"/>
            <w:shd w:val="clear" w:color="auto" w:fill="auto"/>
            <w:noWrap w:val="0"/>
            <w:vAlign w:val="center"/>
          </w:tcPr>
          <w:p w14:paraId="0828CC2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3DA3041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4BA8C097">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注：1.该项目支持按照以上分包分别报名。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包二和包三五年，包一为三年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bookmarkEnd w:id="192"/>
      <w:r>
        <w:rPr>
          <w:rFonts w:hint="eastAsia" w:ascii="宋体" w:hAnsi="宋体" w:eastAsia="宋体" w:cs="宋体"/>
          <w:i w:val="0"/>
          <w:color w:val="auto"/>
          <w:kern w:val="2"/>
          <w:sz w:val="24"/>
          <w:szCs w:val="24"/>
          <w:lang w:val="en-US" w:eastAsia="zh-CN" w:bidi="ar-SA"/>
        </w:rPr>
        <w:t>。</w:t>
      </w:r>
    </w:p>
    <w:bookmarkEnd w:id="14"/>
    <w:bookmarkEnd w:id="15"/>
    <w:bookmarkEnd w:id="16"/>
    <w:bookmarkEnd w:id="17"/>
    <w:bookmarkEnd w:id="18"/>
    <w:p w14:paraId="67FFECAF">
      <w:pPr>
        <w:pStyle w:val="22"/>
        <w:rPr>
          <w:rFonts w:hint="eastAsia"/>
          <w:color w:val="auto"/>
        </w:rPr>
      </w:pPr>
      <w:bookmarkStart w:id="19" w:name="_Toc76373866"/>
      <w:bookmarkStart w:id="20" w:name="_Toc26504"/>
      <w:bookmarkStart w:id="21" w:name="_Toc10137"/>
      <w:bookmarkStart w:id="22" w:name="_Toc30358"/>
      <w:bookmarkStart w:id="23" w:name="_Toc25496"/>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消毒供应中心</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消毒供应中心</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9714"/>
      <w:bookmarkStart w:id="41" w:name="_Toc4033"/>
      <w:bookmarkStart w:id="42" w:name="_Toc76373872"/>
      <w:bookmarkStart w:id="43" w:name="_Toc1422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2599"/>
      <w:bookmarkStart w:id="48" w:name="_Toc11474"/>
      <w:bookmarkStart w:id="49" w:name="_Toc3153"/>
      <w:bookmarkStart w:id="50" w:name="_Toc76373874"/>
      <w:bookmarkStart w:id="51" w:name="_Toc13391"/>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620"/>
      <w:bookmarkStart w:id="55" w:name="_Toc6355"/>
      <w:bookmarkStart w:id="56" w:name="_Toc30465"/>
      <w:bookmarkStart w:id="57" w:name="_Toc29225"/>
      <w:bookmarkStart w:id="58" w:name="_Toc76373876"/>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694294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主要用途：用于低温过氧化氢物品包内灭菌效果鉴定。</w:t>
      </w:r>
    </w:p>
    <w:p w14:paraId="63E5A81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产品主要参数：</w:t>
      </w:r>
    </w:p>
    <w:p w14:paraId="4049ABCE">
      <w:pPr>
        <w:pStyle w:val="168"/>
        <w:widowControl/>
        <w:numPr>
          <w:ilvl w:val="0"/>
          <w:numId w:val="1"/>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符合GB 18282.1 《化学指示物第1部分：通则》的要求；                                    </w:t>
      </w:r>
    </w:p>
    <w:p w14:paraId="7326E181">
      <w:pPr>
        <w:pStyle w:val="168"/>
        <w:widowControl/>
        <w:numPr>
          <w:ilvl w:val="0"/>
          <w:numId w:val="1"/>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明确是四类化学指示物，抗力稳定，提供《消毒产品卫生安全评价报告》；</w:t>
      </w:r>
    </w:p>
    <w:p w14:paraId="0131684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（3）变色终点判断：必须有清晰的通过/失败色系区分；</w:t>
      </w:r>
    </w:p>
    <w:p w14:paraId="36F7862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（4）为无铅产品；</w:t>
      </w:r>
    </w:p>
    <w:p w14:paraId="312F3FB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（5）采用正反面双面覆膜；</w:t>
      </w:r>
    </w:p>
    <w:p w14:paraId="0D075BA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（6）储存稳定： 灭菌后变色的指示卡粘贴在记录本上，在科室常规环境下≥3个月不褪色、不返色 ；                                                        </w:t>
      </w:r>
    </w:p>
    <w:p w14:paraId="46F2F74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（7）产品在说明书要求的储存环境下，有效期应≥16个月；  </w:t>
      </w:r>
    </w:p>
    <w:p w14:paraId="5A73A008">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（8）生产企业经过ISO13485质量体系认证；                                </w:t>
      </w:r>
    </w:p>
    <w:p w14:paraId="4839FC9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（9）提供全国5家三甲综合医院近2年同型号产品采购合同；                                                                       </w:t>
      </w:r>
    </w:p>
    <w:p w14:paraId="3845DB7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（10）指示卡采购一家国产一家进口，以适配医院现有过氧化氢低温灭菌器。</w:t>
      </w:r>
    </w:p>
    <w:p w14:paraId="0AB5E7E2">
      <w:pPr>
        <w:pStyle w:val="31"/>
        <w:rPr>
          <w:rFonts w:hint="eastAsia" w:ascii="Times New Roman" w:hAnsi="Times New Roman" w:eastAsia="宋体" w:cs="Times New Roman"/>
          <w:b w:val="0"/>
          <w:bCs w:val="0"/>
          <w:color w:val="auto"/>
          <w:sz w:val="24"/>
          <w:szCs w:val="24"/>
          <w:lang w:val="en-US" w:eastAsia="zh-CN"/>
        </w:rPr>
      </w:pPr>
    </w:p>
    <w:p w14:paraId="76A6CAC2">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6451F4B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1.用途：用于过氧化氢气体灭菌的生物监测，适用于灭菌舱最高温度＜60℃的过氧化氢灭菌器。                                                                </w:t>
      </w:r>
    </w:p>
    <w:p w14:paraId="5E6B9311">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2.主要参数：                                                             </w:t>
      </w:r>
    </w:p>
    <w:p w14:paraId="412E5C0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（1）必须符合 GB 18281.1《医疗保健产品灭菌 生物指示物 第1部分：通则》 ；                                                                               </w:t>
      </w:r>
    </w:p>
    <w:p w14:paraId="51C9645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（2）嗜热脂肪芽孢杆菌,载菌量为≥1×10⁶CFU；                                  </w:t>
      </w:r>
    </w:p>
    <w:p w14:paraId="5D96EBE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（3）荧光快速检测结果与传统7天培养法结果吻合率≥97%                         </w:t>
      </w:r>
    </w:p>
    <w:p w14:paraId="521F87F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（4）指示剂在说明书要求的储存环境下，有效期应≥10个月；                   </w:t>
      </w:r>
    </w:p>
    <w:p w14:paraId="181F922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（5）指示瓶盖应带有变色标签，并且灭菌前后颜色有明显差异；                                 </w:t>
      </w:r>
    </w:p>
    <w:p w14:paraId="41E0E4A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（6）提供《消毒产品卫生安全评价报告》；                                </w:t>
      </w:r>
    </w:p>
    <w:p w14:paraId="5594F01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（7）配套生物阅读器≤30min显示荧光读取结果；                                </w:t>
      </w:r>
    </w:p>
    <w:p w14:paraId="55ABBDC3">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（8）配套生物阅读器2台，培养孔≥8个。</w:t>
      </w:r>
    </w:p>
    <w:p w14:paraId="392AD8C6">
      <w:pPr>
        <w:pStyle w:val="31"/>
        <w:rPr>
          <w:rFonts w:hint="eastAsia"/>
          <w:lang w:val="en-US" w:eastAsia="zh-CN"/>
        </w:rPr>
      </w:pPr>
    </w:p>
    <w:p w14:paraId="4D98C8F5">
      <w:pPr>
        <w:spacing w:line="320" w:lineRule="exact"/>
        <w:ind w:left="479" w:leftChars="85" w:hanging="241" w:hangingChars="100"/>
        <w:jc w:val="left"/>
        <w:rPr>
          <w:rFonts w:hint="eastAsia" w:ascii="Times New Roman" w:hAnsi="Times New Roman"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0BD5C74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功能简介及参数：</w:t>
      </w:r>
    </w:p>
    <w:p w14:paraId="6671B5A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eastAsia="宋体" w:cs="Times New Roman"/>
          <w:b w:val="0"/>
          <w:bCs w:val="0"/>
          <w:color w:val="auto"/>
          <w:kern w:val="2"/>
          <w:sz w:val="24"/>
          <w:szCs w:val="24"/>
          <w:lang w:val="en-US" w:eastAsia="zh-CN" w:bidi="ar-SA"/>
        </w:rPr>
        <w:t>一、</w:t>
      </w:r>
      <w:r>
        <w:rPr>
          <w:rFonts w:hint="eastAsia" w:ascii="Times New Roman" w:hAnsi="Times New Roman" w:cs="Times New Roman"/>
          <w:b w:val="0"/>
          <w:bCs w:val="0"/>
          <w:color w:val="auto"/>
          <w:sz w:val="24"/>
          <w:szCs w:val="24"/>
          <w:lang w:val="en-US" w:eastAsia="zh-CN"/>
        </w:rPr>
        <w:t xml:space="preserve">适用于消毒供应中心清洗质量抽检，对清洗后外科器械、骨科植入器械、管腔内镜器械、外来手术器械等进行蛋白残留定量检测，判断清洗质量是否合格；                                                            </w:t>
      </w:r>
    </w:p>
    <w:p w14:paraId="083DE413">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二、参数：                                                        </w:t>
      </w:r>
    </w:p>
    <w:p w14:paraId="0582263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1.检测时间：≤15分钟。</w:t>
      </w:r>
    </w:p>
    <w:p w14:paraId="21FCC8A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2.示值误差：≤±5%。                                                           </w:t>
      </w:r>
    </w:p>
    <w:p w14:paraId="4FA8E87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eastAsia="宋体" w:cs="Times New Roman"/>
          <w:b w:val="0"/>
          <w:bCs w:val="0"/>
          <w:color w:val="auto"/>
          <w:kern w:val="2"/>
          <w:sz w:val="24"/>
          <w:szCs w:val="24"/>
          <w:lang w:val="en-US" w:eastAsia="zh-CN" w:bidi="ar-SA"/>
        </w:rPr>
        <w:t>2.</w:t>
      </w:r>
      <w:r>
        <w:rPr>
          <w:rFonts w:hint="eastAsia" w:ascii="Times New Roman" w:hAnsi="Times New Roman" w:cs="Times New Roman"/>
          <w:b w:val="0"/>
          <w:bCs w:val="0"/>
          <w:color w:val="auto"/>
          <w:sz w:val="24"/>
          <w:szCs w:val="24"/>
          <w:lang w:val="en-US" w:eastAsia="zh-CN"/>
        </w:rPr>
        <w:t>采购配套设备1台，购买耗材按需申领。</w:t>
      </w:r>
    </w:p>
    <w:p w14:paraId="18B9B7D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3.屏幕显示：直接显示测试结果。</w:t>
      </w:r>
    </w:p>
    <w:p w14:paraId="1FFD6F0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4.数据存储：存储5000-10000组测量记录。</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5.工作电源：工作时不外接电源，内置电源可待机≤2小时，支持USB供电。</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5650"/>
      <w:bookmarkStart w:id="63" w:name="_Toc7794"/>
      <w:bookmarkStart w:id="64" w:name="_Toc1768"/>
      <w:bookmarkStart w:id="65" w:name="_Toc31843"/>
      <w:bookmarkStart w:id="66" w:name="_Toc17944"/>
      <w:bookmarkStart w:id="67" w:name="_Toc4791"/>
      <w:bookmarkStart w:id="68" w:name="_Toc24122"/>
      <w:bookmarkStart w:id="69" w:name="_Toc76373878"/>
      <w:bookmarkStart w:id="70" w:name="_Toc17524"/>
      <w:bookmarkStart w:id="71" w:name="_Toc207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5959"/>
      <w:bookmarkStart w:id="74" w:name="_Toc30551"/>
      <w:bookmarkStart w:id="75" w:name="_Toc76373879"/>
      <w:bookmarkStart w:id="76" w:name="_Toc22561"/>
      <w:bookmarkStart w:id="77" w:name="_Toc29836"/>
      <w:bookmarkStart w:id="78" w:name="_Toc9339"/>
      <w:bookmarkStart w:id="79" w:name="_Toc14311"/>
      <w:bookmarkStart w:id="80" w:name="_Toc16908"/>
      <w:bookmarkStart w:id="81" w:name="_Toc1352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263"/>
      <w:bookmarkStart w:id="84" w:name="_Toc12384"/>
      <w:bookmarkStart w:id="85" w:name="_Toc2258"/>
      <w:bookmarkStart w:id="86" w:name="_Toc27737"/>
      <w:bookmarkStart w:id="87" w:name="_Toc76373885"/>
      <w:bookmarkStart w:id="88" w:name="_Toc27893"/>
      <w:bookmarkStart w:id="89" w:name="_Toc20772"/>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6373886"/>
      <w:bookmarkStart w:id="91" w:name="_Toc12712"/>
      <w:bookmarkStart w:id="92" w:name="_Toc11052"/>
      <w:bookmarkStart w:id="93" w:name="_Toc28189"/>
      <w:bookmarkStart w:id="94" w:name="_Toc23699"/>
      <w:bookmarkStart w:id="95" w:name="_Toc7115"/>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26754"/>
      <w:bookmarkStart w:id="98" w:name="_Toc19809"/>
      <w:bookmarkStart w:id="99" w:name="_Toc31293"/>
      <w:bookmarkStart w:id="100" w:name="_Toc9147"/>
      <w:bookmarkStart w:id="101" w:name="_Toc5535"/>
      <w:bookmarkStart w:id="102" w:name="_Toc13585"/>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8546"/>
      <w:bookmarkStart w:id="105" w:name="_Toc76373889"/>
      <w:bookmarkStart w:id="106" w:name="_Toc16925"/>
      <w:bookmarkStart w:id="107" w:name="_Toc2900"/>
      <w:bookmarkStart w:id="108" w:name="_Toc30068"/>
      <w:bookmarkStart w:id="109" w:name="_Toc5251"/>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0034"/>
      <w:bookmarkStart w:id="113" w:name="_Toc27443"/>
      <w:bookmarkStart w:id="114" w:name="_Toc11654"/>
      <w:bookmarkStart w:id="115" w:name="_Toc11342"/>
      <w:bookmarkStart w:id="116" w:name="_Toc76373890"/>
      <w:bookmarkStart w:id="117" w:name="_Toc26071"/>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20391"/>
      <w:bookmarkStart w:id="121" w:name="_Toc25199"/>
      <w:bookmarkStart w:id="122" w:name="_Toc76373891"/>
      <w:bookmarkStart w:id="123" w:name="_Toc10864"/>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76373904"/>
      <w:bookmarkStart w:id="132" w:name="_Toc19409"/>
      <w:bookmarkStart w:id="133" w:name="_Toc20762"/>
      <w:bookmarkStart w:id="134" w:name="_Toc10152"/>
      <w:bookmarkStart w:id="135" w:name="_Toc24088"/>
      <w:bookmarkStart w:id="136" w:name="_Toc2975"/>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2863"/>
      <w:bookmarkStart w:id="138" w:name="_Toc11892"/>
      <w:bookmarkStart w:id="139" w:name="_Toc16112"/>
      <w:bookmarkStart w:id="140" w:name="_Toc25920"/>
      <w:bookmarkStart w:id="141" w:name="_Toc11763"/>
      <w:bookmarkStart w:id="142" w:name="_Toc76373907"/>
      <w:bookmarkStart w:id="143" w:name="_Toc775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OLE_LINK9"/>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431"/>
      <w:bookmarkStart w:id="165" w:name="_Toc493178790"/>
      <w:bookmarkStart w:id="166" w:name="_Toc76373909"/>
      <w:bookmarkStart w:id="167" w:name="_Toc21830"/>
      <w:bookmarkStart w:id="168" w:name="_Toc27306"/>
      <w:bookmarkStart w:id="169" w:name="_Toc9795"/>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258"/>
      <w:bookmarkStart w:id="174" w:name="_Toc16487"/>
      <w:bookmarkStart w:id="175" w:name="_Toc12647"/>
      <w:bookmarkStart w:id="176" w:name="_Toc493178791"/>
      <w:bookmarkStart w:id="177" w:name="_Toc411"/>
      <w:bookmarkStart w:id="178" w:name="_Toc492721039"/>
      <w:bookmarkStart w:id="179" w:name="_Toc20875"/>
      <w:bookmarkStart w:id="180"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6217"/>
      <w:bookmarkStart w:id="183" w:name="_Toc8925"/>
      <w:bookmarkStart w:id="184" w:name="_Toc492721038"/>
      <w:bookmarkStart w:id="185" w:name="_Toc493178793"/>
      <w:bookmarkStart w:id="186" w:name="_Toc76373912"/>
      <w:bookmarkStart w:id="187" w:name="_Toc16151"/>
      <w:bookmarkStart w:id="188" w:name="_Toc20605"/>
      <w:bookmarkStart w:id="189" w:name="_Toc4250"/>
      <w:bookmarkStart w:id="190" w:name="_Toc1929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E77C31B-A29C-429F-B87B-7420A872213B}"/>
  </w:font>
  <w:font w:name="黑体">
    <w:panose1 w:val="02010609060101010101"/>
    <w:charset w:val="86"/>
    <w:family w:val="auto"/>
    <w:pitch w:val="default"/>
    <w:sig w:usb0="800002BF" w:usb1="38CF7CFA" w:usb2="00000016" w:usb3="00000000" w:csb0="00040001" w:csb1="00000000"/>
    <w:embedRegular r:id="rId2" w:fontKey="{F4B189DE-049A-4338-BC64-FDFD1B8112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1ED53483-D30C-47B0-ACF0-5A6F3F79D3F0}"/>
  </w:font>
  <w:font w:name="Arial Unicode MS">
    <w:panose1 w:val="020B0604020202020204"/>
    <w:charset w:val="86"/>
    <w:family w:val="roman"/>
    <w:pitch w:val="default"/>
    <w:sig w:usb0="FFFFFFFF" w:usb1="E9FFFFFF" w:usb2="0000003F" w:usb3="00000000" w:csb0="603F01FF" w:csb1="FFFF0000"/>
    <w:embedRegular r:id="rId4" w:fontKey="{4A150865-770A-492F-A93F-248896D790F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CA3CD43A-9592-4D36-9541-7A9E629A3649}"/>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F31E9B2F-985C-484D-95CC-C680BFBFF359}"/>
  </w:font>
  <w:font w:name="方正黑体_GBK">
    <w:panose1 w:val="03000509000000000000"/>
    <w:charset w:val="86"/>
    <w:family w:val="script"/>
    <w:pitch w:val="default"/>
    <w:sig w:usb0="00000001" w:usb1="080E0000" w:usb2="00000000" w:usb3="00000000" w:csb0="00040000" w:csb1="00000000"/>
    <w:embedRegular r:id="rId7" w:fontKey="{5C42D412-B920-4F8E-9E95-5C3D501D4329}"/>
  </w:font>
  <w:font w:name="方正小标宋_GBK">
    <w:panose1 w:val="03000509000000000000"/>
    <w:charset w:val="86"/>
    <w:family w:val="script"/>
    <w:pitch w:val="default"/>
    <w:sig w:usb0="00000001" w:usb1="080E0000" w:usb2="00000000" w:usb3="00000000" w:csb0="00040000" w:csb1="00000000"/>
    <w:embedRegular r:id="rId8" w:fontKey="{3623047A-49D7-48F9-A3C0-1EB28832E34E}"/>
  </w:font>
  <w:font w:name="微软雅黑">
    <w:panose1 w:val="020B0503020204020204"/>
    <w:charset w:val="86"/>
    <w:family w:val="swiss"/>
    <w:pitch w:val="default"/>
    <w:sig w:usb0="80000287" w:usb1="2ACF3C50" w:usb2="00000016" w:usb3="00000000" w:csb0="0004001F" w:csb1="00000000"/>
    <w:embedRegular r:id="rId9" w:fontKey="{F614195B-EC22-4DCD-A5E2-9A9EF4F9C081}"/>
  </w:font>
  <w:font w:name="仿宋">
    <w:panose1 w:val="02010609060101010101"/>
    <w:charset w:val="86"/>
    <w:family w:val="modern"/>
    <w:pitch w:val="default"/>
    <w:sig w:usb0="800002BF" w:usb1="38CF7CFA" w:usb2="00000016" w:usb3="00000000" w:csb0="00040001" w:csb1="00000000"/>
    <w:embedRegular r:id="rId10" w:fontKey="{EEA6F347-560E-4B72-9825-F6A34C6CAB92}"/>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8E493"/>
    <w:multiLevelType w:val="singleLevel"/>
    <w:tmpl w:val="0198E49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7E45E5"/>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7F16F1"/>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6217</Words>
  <Characters>6380</Characters>
  <Lines>101</Lines>
  <Paragraphs>28</Paragraphs>
  <TotalTime>3</TotalTime>
  <ScaleCrop>false</ScaleCrop>
  <LinksUpToDate>false</LinksUpToDate>
  <CharactersWithSpaces>7507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2026-07-25T08:10:29Z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