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76373863"/>
      <w:bookmarkStart w:id="2" w:name="_Toc10059"/>
      <w:bookmarkStart w:id="3" w:name="_Toc1304"/>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22435"/>
      <w:bookmarkStart w:id="9" w:name="_Toc28264"/>
      <w:bookmarkStart w:id="10" w:name="_Toc15376"/>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项目名称：肌酸激酶MB同工酶测试卡等一批POCT耗材及其配套设备</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22129"/>
            <w:bookmarkStart w:id="16" w:name="_Toc18060"/>
            <w:bookmarkStart w:id="17" w:name="_Toc5838"/>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4F872B95">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肌酸激酶MB同工酶测试卡</w:t>
            </w:r>
          </w:p>
        </w:tc>
        <w:tc>
          <w:tcPr>
            <w:tcW w:w="1485" w:type="dxa"/>
            <w:vMerge w:val="restart"/>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vMerge w:val="restart"/>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心内科、急救部、老年、全科</w:t>
            </w:r>
          </w:p>
        </w:tc>
      </w:tr>
      <w:tr w14:paraId="1BB8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1CE1BA57">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524D9A53">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肌钙蛋白I测试卡</w:t>
            </w:r>
          </w:p>
        </w:tc>
        <w:tc>
          <w:tcPr>
            <w:tcW w:w="1485" w:type="dxa"/>
            <w:vMerge w:val="continue"/>
            <w:shd w:val="clear" w:color="auto" w:fill="auto"/>
            <w:noWrap w:val="0"/>
            <w:vAlign w:val="center"/>
          </w:tcPr>
          <w:p w14:paraId="422ABAD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5DC7508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3A7FD34D">
            <w:pPr>
              <w:keepNext w:val="0"/>
              <w:keepLines w:val="0"/>
              <w:widowControl/>
              <w:suppressLineNumbers w:val="0"/>
              <w:jc w:val="center"/>
              <w:textAlignment w:val="center"/>
              <w:rPr>
                <w:rFonts w:hint="eastAsia" w:ascii="宋体" w:hAnsi="宋体" w:cs="宋体"/>
                <w:color w:val="auto"/>
                <w:sz w:val="24"/>
                <w:szCs w:val="24"/>
                <w:lang w:val="en-US" w:eastAsia="zh-CN"/>
              </w:rPr>
            </w:pPr>
          </w:p>
        </w:tc>
      </w:tr>
      <w:tr w14:paraId="3CF8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26A37A0D">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465C367A">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肌红蛋白测试卡</w:t>
            </w:r>
          </w:p>
        </w:tc>
        <w:tc>
          <w:tcPr>
            <w:tcW w:w="1485" w:type="dxa"/>
            <w:vMerge w:val="continue"/>
            <w:shd w:val="clear" w:color="auto" w:fill="auto"/>
            <w:noWrap w:val="0"/>
            <w:vAlign w:val="center"/>
          </w:tcPr>
          <w:p w14:paraId="70DF828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66561E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05C8456F">
            <w:pPr>
              <w:keepNext w:val="0"/>
              <w:keepLines w:val="0"/>
              <w:widowControl/>
              <w:suppressLineNumbers w:val="0"/>
              <w:jc w:val="center"/>
              <w:textAlignment w:val="center"/>
              <w:rPr>
                <w:rFonts w:hint="eastAsia" w:ascii="宋体" w:hAnsi="宋体" w:cs="宋体"/>
                <w:color w:val="auto"/>
                <w:sz w:val="24"/>
                <w:szCs w:val="24"/>
                <w:lang w:val="en-US" w:eastAsia="zh-CN"/>
              </w:rPr>
            </w:pPr>
          </w:p>
        </w:tc>
      </w:tr>
      <w:tr w14:paraId="03D7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541F9794">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7BDAB587">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氨基末端B型脑钠肽前体测试卡</w:t>
            </w:r>
          </w:p>
        </w:tc>
        <w:tc>
          <w:tcPr>
            <w:tcW w:w="1485" w:type="dxa"/>
            <w:vMerge w:val="continue"/>
            <w:shd w:val="clear" w:color="auto" w:fill="auto"/>
            <w:noWrap w:val="0"/>
            <w:vAlign w:val="center"/>
          </w:tcPr>
          <w:p w14:paraId="370A0F9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3172603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B5058DA">
            <w:pPr>
              <w:keepNext w:val="0"/>
              <w:keepLines w:val="0"/>
              <w:widowControl/>
              <w:suppressLineNumbers w:val="0"/>
              <w:jc w:val="center"/>
              <w:textAlignment w:val="center"/>
              <w:rPr>
                <w:rFonts w:hint="eastAsia" w:ascii="宋体" w:hAnsi="宋体" w:cs="宋体"/>
                <w:color w:val="auto"/>
                <w:sz w:val="24"/>
                <w:szCs w:val="24"/>
                <w:lang w:val="en-US" w:eastAsia="zh-CN"/>
              </w:rPr>
            </w:pP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五年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10137"/>
      <w:bookmarkStart w:id="20" w:name="_Toc25496"/>
      <w:bookmarkStart w:id="21" w:name="_Toc76373866"/>
      <w:bookmarkStart w:id="22" w:name="_Toc30358"/>
      <w:bookmarkStart w:id="23" w:name="_Toc26504"/>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心内科、急救部、老年、全科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心内科、急救部、老年、全科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心内科、急救部、老年、全科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心内科、急救部、老年、全科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76373872"/>
      <w:bookmarkStart w:id="41" w:name="_Toc25272"/>
      <w:bookmarkStart w:id="42" w:name="_Toc4033"/>
      <w:bookmarkStart w:id="43" w:name="_Toc971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2599"/>
      <w:bookmarkStart w:id="49" w:name="_Toc3153"/>
      <w:bookmarkStart w:id="50" w:name="_Toc76373874"/>
      <w:bookmarkStart w:id="51" w:name="_Toc13391"/>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30465"/>
      <w:bookmarkStart w:id="56" w:name="_Toc29225"/>
      <w:bookmarkStart w:id="57" w:name="_Toc76373876"/>
      <w:bookmarkStart w:id="58" w:name="_Toc29620"/>
      <w:bookmarkStart w:id="59" w:name="_Toc13107"/>
      <w:bookmarkStart w:id="60" w:name="_Toc1955"/>
    </w:p>
    <w:p w14:paraId="382937FE">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A606893">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1、用于体外定量检测cTnI、CK-MB、Myo、NT-proBNP的含量，临床上主要用于心肌梗死和心力衰竭的辅助诊断</w:t>
      </w:r>
    </w:p>
    <w:p w14:paraId="63AEA8D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检测。</w:t>
      </w:r>
    </w:p>
    <w:p w14:paraId="71C1D53B">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2、精密度：CV≤15%；</w:t>
      </w:r>
    </w:p>
    <w:p w14:paraId="4BC71D8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3、包装规格：≤50人份或卡/盒；</w:t>
      </w:r>
    </w:p>
    <w:p w14:paraId="427A3963">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4、提供肌酸激酶、肌钙蛋白、肌红蛋白单卡试剂或者心肌三项联合试剂。</w:t>
      </w:r>
    </w:p>
    <w:p w14:paraId="31271284">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5、提供氨基末端B型脑钠肽前体测试卡/测定试剂盒。</w:t>
      </w:r>
    </w:p>
    <w:p w14:paraId="259CD4D4">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6、提供D-二聚体检测试剂盒。</w:t>
      </w:r>
    </w:p>
    <w:p w14:paraId="6F22B284">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7、含配套耗材，方便操作和更换；</w:t>
      </w:r>
    </w:p>
    <w:p w14:paraId="78DE03D4">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8、储存条件：于2~30℃避光未拆封状态下保存，有效期≥12个月。</w:t>
      </w:r>
    </w:p>
    <w:p w14:paraId="6B6DB139">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9、提供室间质评相关结果。</w:t>
      </w:r>
    </w:p>
    <w:p w14:paraId="7F1384BA">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p>
    <w:p w14:paraId="7C051A7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全自动化学发光/免疫荧光分析仪</w:t>
      </w:r>
    </w:p>
    <w:p w14:paraId="2FB71436">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1、方法学：化学发光法或免疫荧光</w:t>
      </w:r>
    </w:p>
    <w:p w14:paraId="37C0834B">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2、检测项目：包括肌钙蛋白I（TNI）、肌红蛋白（MYO）、肌酸激酶MB同工酶（CKMB）、氨基末端B型脑钠肽前体（NT-proBNP）、D-二聚体等；</w:t>
      </w:r>
    </w:p>
    <w:p w14:paraId="6803CB9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3、样本类型：包括全血等；</w:t>
      </w:r>
    </w:p>
    <w:p w14:paraId="2C7A6A9E">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4、全自动化，快捷方便，采用一次性吸头，检测过程安全可靠；</w:t>
      </w:r>
    </w:p>
    <w:p w14:paraId="2D92087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5、出结果时间：≤10min；</w:t>
      </w:r>
    </w:p>
    <w:p w14:paraId="2D8642AC">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6、样本用量：10-100μL；</w:t>
      </w:r>
      <w:bookmarkStart w:id="192" w:name="_GoBack"/>
      <w:bookmarkEnd w:id="192"/>
    </w:p>
    <w:p w14:paraId="2B89BA58">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7、样本位：≥24个；试剂通道≥5。</w:t>
      </w:r>
    </w:p>
    <w:p w14:paraId="4F001F4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8、有预留急诊通道或有急诊优先功能；</w:t>
      </w:r>
    </w:p>
    <w:p w14:paraId="3FFB0D0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9、在线加载：支持不停机加载耗材；</w:t>
      </w:r>
    </w:p>
    <w:p w14:paraId="334AF8DC">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10、提供仪器、试剂，按照国家标准双重质控，可系统溯源；</w:t>
      </w:r>
    </w:p>
    <w:p w14:paraId="1157054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11、免费开放端口连接医院 LIS、HIS系统，并满足无纸化要求；</w:t>
      </w:r>
    </w:p>
    <w:p w14:paraId="5778803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12、售后服务及时，2小时内电话或远程指导，24小内进行报修或解决问题，提供备用机以保障临床正常工作。</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31843"/>
      <w:bookmarkStart w:id="64" w:name="_Toc7794"/>
      <w:bookmarkStart w:id="65" w:name="_Toc17944"/>
      <w:bookmarkStart w:id="66" w:name="_Toc76373878"/>
      <w:bookmarkStart w:id="67" w:name="_Toc2072"/>
      <w:bookmarkStart w:id="68" w:name="_Toc15650"/>
      <w:bookmarkStart w:id="69" w:name="_Toc4791"/>
      <w:bookmarkStart w:id="70" w:name="_Toc17524"/>
      <w:bookmarkStart w:id="71" w:name="_Toc2412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76373879"/>
      <w:bookmarkStart w:id="74" w:name="_Toc22561"/>
      <w:bookmarkStart w:id="75" w:name="_Toc30551"/>
      <w:bookmarkStart w:id="76" w:name="_Toc14311"/>
      <w:bookmarkStart w:id="77" w:name="_Toc9339"/>
      <w:bookmarkStart w:id="78" w:name="_Toc5959"/>
      <w:bookmarkStart w:id="79" w:name="_Toc29836"/>
      <w:bookmarkStart w:id="80" w:name="_Toc16908"/>
      <w:bookmarkStart w:id="81" w:name="_Toc1352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2258"/>
      <w:bookmarkStart w:id="85" w:name="_Toc12384"/>
      <w:bookmarkStart w:id="86" w:name="_Toc27737"/>
      <w:bookmarkStart w:id="87" w:name="_Toc27893"/>
      <w:bookmarkStart w:id="88" w:name="_Toc76373885"/>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3699"/>
      <w:bookmarkStart w:id="91" w:name="_Toc76373886"/>
      <w:bookmarkStart w:id="92" w:name="_Toc11052"/>
      <w:bookmarkStart w:id="93" w:name="_Toc12712"/>
      <w:bookmarkStart w:id="94" w:name="_Toc7115"/>
      <w:bookmarkStart w:id="95" w:name="_Toc2818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9809"/>
      <w:bookmarkStart w:id="98" w:name="_Toc76373887"/>
      <w:bookmarkStart w:id="99" w:name="_Toc5535"/>
      <w:bookmarkStart w:id="100" w:name="_Toc26754"/>
      <w:bookmarkStart w:id="101" w:name="_Toc13585"/>
      <w:bookmarkStart w:id="102" w:name="_Toc31293"/>
      <w:bookmarkStart w:id="103"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2900"/>
      <w:bookmarkStart w:id="106" w:name="_Toc5251"/>
      <w:bookmarkStart w:id="107" w:name="_Toc16925"/>
      <w:bookmarkStart w:id="108" w:name="_Toc76373889"/>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76373890"/>
      <w:bookmarkStart w:id="114" w:name="_Toc11342"/>
      <w:bookmarkStart w:id="115" w:name="_Toc26071"/>
      <w:bookmarkStart w:id="116" w:name="_Toc27443"/>
      <w:bookmarkStart w:id="117" w:name="_Toc1165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20391"/>
      <w:bookmarkStart w:id="121" w:name="_Toc76373891"/>
      <w:bookmarkStart w:id="122" w:name="_Toc10864"/>
      <w:bookmarkStart w:id="123" w:name="_Toc25199"/>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10152"/>
      <w:bookmarkStart w:id="133" w:name="_Toc19409"/>
      <w:bookmarkStart w:id="134" w:name="_Toc76373904"/>
      <w:bookmarkStart w:id="135" w:name="_Toc24088"/>
      <w:bookmarkStart w:id="136" w:name="_Toc2975"/>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6373907"/>
      <w:bookmarkStart w:id="138" w:name="_Toc7750"/>
      <w:bookmarkStart w:id="139" w:name="_Toc16112"/>
      <w:bookmarkStart w:id="140" w:name="_Toc11892"/>
      <w:bookmarkStart w:id="141" w:name="_Toc11763"/>
      <w:bookmarkStart w:id="142" w:name="_Toc25920"/>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431"/>
      <w:bookmarkStart w:id="165" w:name="_Toc21830"/>
      <w:bookmarkStart w:id="166" w:name="_Toc493178790"/>
      <w:bookmarkStart w:id="167" w:name="_Toc76373909"/>
      <w:bookmarkStart w:id="168" w:name="_Toc27306"/>
      <w:bookmarkStart w:id="169" w:name="_Toc9795"/>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11"/>
      <w:bookmarkStart w:id="175" w:name="_Toc12647"/>
      <w:bookmarkStart w:id="176" w:name="_Toc76373910"/>
      <w:bookmarkStart w:id="177" w:name="_Toc20258"/>
      <w:bookmarkStart w:id="178" w:name="_Toc16487"/>
      <w:bookmarkStart w:id="179" w:name="_Toc492721039"/>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9291"/>
      <w:bookmarkStart w:id="183" w:name="_Toc20605"/>
      <w:bookmarkStart w:id="184" w:name="_Toc8925"/>
      <w:bookmarkStart w:id="185" w:name="_Toc4250"/>
      <w:bookmarkStart w:id="186" w:name="_Toc492721038"/>
      <w:bookmarkStart w:id="187" w:name="_Toc76373912"/>
      <w:bookmarkStart w:id="188" w:name="_Toc16151"/>
      <w:bookmarkStart w:id="189" w:name="_Toc6217"/>
      <w:bookmarkStart w:id="190" w:name="_Toc493178793"/>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3B8C69-EF6A-488D-B719-8A9C0381589B}"/>
  </w:font>
  <w:font w:name="黑体">
    <w:panose1 w:val="02010609060101010101"/>
    <w:charset w:val="86"/>
    <w:family w:val="auto"/>
    <w:pitch w:val="default"/>
    <w:sig w:usb0="800002BF" w:usb1="38CF7CFA" w:usb2="00000016" w:usb3="00000000" w:csb0="00040001" w:csb1="00000000"/>
    <w:embedRegular r:id="rId2" w:fontKey="{7216A897-5AB8-48C9-B79C-377F306D08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2F34BF57-4A6C-4240-9E0B-958F9EA11782}"/>
  </w:font>
  <w:font w:name="Arial Unicode MS">
    <w:panose1 w:val="020B0604020202020204"/>
    <w:charset w:val="86"/>
    <w:family w:val="roman"/>
    <w:pitch w:val="default"/>
    <w:sig w:usb0="FFFFFFFF" w:usb1="E9FFFFFF" w:usb2="0000003F" w:usb3="00000000" w:csb0="603F01FF" w:csb1="FFFF0000"/>
    <w:embedRegular r:id="rId4" w:fontKey="{DBF9E8B5-EFE0-48F4-80A3-BCD2111A9B6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D3167D1-CACB-4F46-9EC0-119E0466B14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E0A1F43-EC9B-4F9B-BDC8-23BB33B484C2}"/>
  </w:font>
  <w:font w:name="方正黑体_GBK">
    <w:panose1 w:val="03000509000000000000"/>
    <w:charset w:val="86"/>
    <w:family w:val="script"/>
    <w:pitch w:val="default"/>
    <w:sig w:usb0="00000001" w:usb1="080E0000" w:usb2="00000000" w:usb3="00000000" w:csb0="00040000" w:csb1="00000000"/>
    <w:embedRegular r:id="rId7" w:fontKey="{65C15C58-BD50-43AC-8093-3D88533D78E2}"/>
  </w:font>
  <w:font w:name="方正小标宋_GBK">
    <w:panose1 w:val="03000509000000000000"/>
    <w:charset w:val="86"/>
    <w:family w:val="script"/>
    <w:pitch w:val="default"/>
    <w:sig w:usb0="00000001" w:usb1="080E0000" w:usb2="00000000" w:usb3="00000000" w:csb0="00040000" w:csb1="00000000"/>
    <w:embedRegular r:id="rId8" w:fontKey="{AC0FA98F-8F34-48BD-ACD2-FDCF3713FD46}"/>
  </w:font>
  <w:font w:name="微软雅黑">
    <w:panose1 w:val="020B0503020204020204"/>
    <w:charset w:val="86"/>
    <w:family w:val="swiss"/>
    <w:pitch w:val="default"/>
    <w:sig w:usb0="80000287" w:usb1="2ACF3C50" w:usb2="00000016" w:usb3="00000000" w:csb0="0004001F" w:csb1="00000000"/>
    <w:embedRegular r:id="rId9" w:fontKey="{2E34CB25-A73E-41B3-A6C1-A539325DF8F3}"/>
  </w:font>
  <w:font w:name="仿宋">
    <w:panose1 w:val="02010609060101010101"/>
    <w:charset w:val="86"/>
    <w:family w:val="modern"/>
    <w:pitch w:val="default"/>
    <w:sig w:usb0="800002BF" w:usb1="38CF7CFA" w:usb2="00000016" w:usb3="00000000" w:csb0="00040001" w:csb1="00000000"/>
    <w:embedRegular r:id="rId10" w:fontKey="{12B472FB-0BFF-424B-B94B-18A3CB2A065C}"/>
  </w:font>
  <w:font w:name="WPSEMBED63">
    <w:panose1 w:val="03000509000000000000"/>
    <w:charset w:val="86"/>
    <w:family w:val="auto"/>
    <w:pitch w:val="default"/>
    <w:sig w:usb0="00000001" w:usb1="080E0000" w:usb2="00000000" w:usb3="00000000" w:csb0="00040000" w:csb1="00000000"/>
  </w:font>
  <w:font w:name="WPSEMBED64">
    <w:panose1 w:val="03000509000000000000"/>
    <w:charset w:val="86"/>
    <w:family w:val="auto"/>
    <w:pitch w:val="default"/>
    <w:sig w:usb0="00000001" w:usb1="080E0000" w:usb2="00000000" w:usb3="00000000" w:csb0="00040000" w:csb1="00000000"/>
  </w:font>
  <w:font w:name="WPSEMBED61">
    <w:panose1 w:val="02010609030101010101"/>
    <w:charset w:val="86"/>
    <w:family w:val="auto"/>
    <w:pitch w:val="default"/>
    <w:sig w:usb0="00000001" w:usb1="080E0000" w:usb2="00000000" w:usb3="00000000" w:csb0="00040000" w:csb1="00000000"/>
  </w:font>
  <w:font w:name="WPSEMBED65">
    <w:panose1 w:val="03000509000000000000"/>
    <w:charset w:val="86"/>
    <w:family w:val="auto"/>
    <w:pitch w:val="default"/>
    <w:sig w:usb0="00000001" w:usb1="080E0000" w:usb2="00000000" w:usb3="00000000" w:csb0="00040000" w:csb1="00000000"/>
  </w:font>
  <w:font w:name="WPSEMBED6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BFD3E4F"/>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5666</Words>
  <Characters>5818</Characters>
  <Lines>101</Lines>
  <Paragraphs>28</Paragraphs>
  <TotalTime>0</TotalTime>
  <ScaleCrop>false</ScaleCrop>
  <LinksUpToDate>false</LinksUpToDate>
  <CharactersWithSpaces>6247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2026-07-25T11:37:59Z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