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13868"/>
      <w:bookmarkStart w:id="1" w:name="_Toc31066"/>
      <w:bookmarkStart w:id="2" w:name="_Toc10059"/>
      <w:bookmarkStart w:id="3" w:name="_Toc76373863"/>
      <w:bookmarkStart w:id="4" w:name="_Toc1304"/>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6417"/>
      <w:bookmarkStart w:id="6" w:name="_Toc10781"/>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4F8C30B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2A17E467">
      <w:pPr>
        <w:widowControl/>
        <w:spacing w:line="400" w:lineRule="exact"/>
        <w:outlineLvl w:val="1"/>
        <w:rPr>
          <w:rFonts w:hint="eastAsia" w:ascii="宋体" w:hAnsi="宋体" w:cs="宋体"/>
          <w:color w:val="auto"/>
          <w:sz w:val="24"/>
          <w:szCs w:val="24"/>
        </w:rPr>
      </w:pPr>
      <w:bookmarkStart w:id="7" w:name="_Toc28264"/>
      <w:bookmarkStart w:id="8" w:name="_Toc22435"/>
      <w:bookmarkStart w:id="9" w:name="_Toc5909"/>
      <w:bookmarkStart w:id="10" w:name="_Toc15376"/>
      <w:bookmarkStart w:id="11" w:name="_Toc76373864"/>
      <w:bookmarkStart w:id="12" w:name="_Toc11603"/>
      <w:bookmarkStart w:id="13" w:name="_Toc17192"/>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1A67F99F">
      <w:pPr>
        <w:widowControl/>
        <w:spacing w:line="400" w:lineRule="exact"/>
        <w:ind w:firstLine="480" w:firstLineChars="200"/>
        <w:rPr>
          <w:rFonts w:hint="eastAsia" w:ascii="宋体" w:hAnsi="宋体" w:eastAsia="宋体" w:cs="宋体"/>
          <w:color w:val="000000"/>
          <w:sz w:val="24"/>
          <w:szCs w:val="24"/>
          <w:lang w:eastAsia="zh-CN"/>
        </w:rPr>
      </w:pPr>
      <w:r>
        <w:rPr>
          <w:rFonts w:hint="eastAsia" w:ascii="宋体" w:hAnsi="宋体" w:cs="宋体"/>
          <w:color w:val="auto"/>
          <w:sz w:val="24"/>
          <w:szCs w:val="24"/>
        </w:rPr>
        <w:t>项目名称：</w:t>
      </w:r>
      <w:bookmarkStart w:id="14" w:name="_Toc22129"/>
      <w:bookmarkStart w:id="15" w:name="_Toc5838"/>
      <w:bookmarkStart w:id="16" w:name="_Toc18060"/>
      <w:bookmarkStart w:id="17" w:name="_Toc22707"/>
      <w:bookmarkStart w:id="18" w:name="_Toc76373865"/>
      <w:r>
        <w:rPr>
          <w:rFonts w:hint="eastAsia" w:ascii="宋体" w:hAnsi="宋体" w:cs="宋体"/>
          <w:color w:val="000000"/>
          <w:sz w:val="24"/>
          <w:szCs w:val="24"/>
        </w:rPr>
        <w:t>房间隔穿刺导丝</w:t>
      </w:r>
      <w:r>
        <w:rPr>
          <w:rFonts w:hint="eastAsia" w:ascii="宋体" w:hAnsi="宋体" w:cs="宋体"/>
          <w:color w:val="000000"/>
          <w:sz w:val="24"/>
          <w:szCs w:val="24"/>
          <w:lang w:eastAsia="zh-CN"/>
        </w:rPr>
        <w:t>；</w:t>
      </w:r>
      <w:r>
        <w:rPr>
          <w:rFonts w:hint="eastAsia" w:ascii="宋体" w:hAnsi="宋体" w:cs="宋体"/>
          <w:color w:val="auto"/>
          <w:sz w:val="24"/>
          <w:szCs w:val="24"/>
        </w:rPr>
        <w:t>一次性使用血管内成像导管</w:t>
      </w:r>
      <w:r>
        <w:rPr>
          <w:rFonts w:hint="eastAsia" w:ascii="宋体" w:hAnsi="宋体" w:cs="宋体"/>
          <w:color w:val="auto"/>
          <w:sz w:val="24"/>
          <w:szCs w:val="24"/>
          <w:lang w:eastAsia="zh-CN"/>
        </w:rPr>
        <w:t>；</w:t>
      </w:r>
      <w:r>
        <w:rPr>
          <w:rFonts w:hint="eastAsia" w:ascii="宋体" w:hAnsi="宋体" w:cs="宋体"/>
          <w:color w:val="000000"/>
          <w:sz w:val="24"/>
          <w:szCs w:val="24"/>
        </w:rPr>
        <w:t>传送鞘管</w:t>
      </w:r>
      <w:r>
        <w:rPr>
          <w:rFonts w:hint="eastAsia" w:ascii="宋体" w:hAnsi="宋体" w:cs="宋体"/>
          <w:color w:val="000000"/>
          <w:sz w:val="24"/>
          <w:szCs w:val="24"/>
          <w:lang w:eastAsia="zh-CN"/>
        </w:rPr>
        <w:t>；</w:t>
      </w:r>
      <w:r>
        <w:rPr>
          <w:rFonts w:hint="eastAsia" w:ascii="宋体" w:hAnsi="宋体" w:cs="宋体"/>
          <w:color w:val="000000"/>
          <w:sz w:val="24"/>
          <w:szCs w:val="24"/>
        </w:rPr>
        <w:t>左心部传送导管系统、传送导管系统</w:t>
      </w:r>
      <w:r>
        <w:rPr>
          <w:rFonts w:hint="eastAsia" w:ascii="宋体" w:hAnsi="宋体" w:cs="宋体"/>
          <w:color w:val="000000"/>
          <w:sz w:val="24"/>
          <w:szCs w:val="24"/>
          <w:lang w:eastAsia="zh-CN"/>
        </w:rPr>
        <w:t>；</w:t>
      </w:r>
      <w:r>
        <w:rPr>
          <w:rFonts w:hint="eastAsia" w:ascii="宋体" w:hAnsi="宋体" w:cs="宋体"/>
          <w:color w:val="000000"/>
          <w:sz w:val="24"/>
          <w:szCs w:val="24"/>
        </w:rPr>
        <w:t>传送导管</w:t>
      </w:r>
      <w:r>
        <w:rPr>
          <w:rFonts w:hint="eastAsia" w:ascii="宋体" w:hAnsi="宋体" w:cs="宋体"/>
          <w:color w:val="000000"/>
          <w:sz w:val="24"/>
          <w:szCs w:val="24"/>
          <w:lang w:eastAsia="zh-CN"/>
        </w:rPr>
        <w:t>；</w:t>
      </w:r>
      <w:r>
        <w:rPr>
          <w:rFonts w:hint="eastAsia" w:ascii="宋体" w:hAnsi="宋体" w:cs="宋体"/>
          <w:color w:val="000000"/>
          <w:sz w:val="24"/>
          <w:szCs w:val="24"/>
        </w:rPr>
        <w:t>一次性使用压力监测射频消融导管</w:t>
      </w:r>
      <w:r>
        <w:rPr>
          <w:rFonts w:hint="eastAsia" w:ascii="宋体" w:hAnsi="宋体" w:cs="宋体"/>
          <w:color w:val="000000"/>
          <w:sz w:val="24"/>
          <w:szCs w:val="24"/>
          <w:lang w:eastAsia="zh-CN"/>
        </w:rPr>
        <w:t>；</w:t>
      </w:r>
      <w:r>
        <w:rPr>
          <w:rFonts w:hint="eastAsia" w:ascii="宋体" w:hAnsi="宋体" w:cs="宋体"/>
          <w:color w:val="auto"/>
          <w:sz w:val="24"/>
          <w:szCs w:val="24"/>
        </w:rPr>
        <w:t>ACT(激活全血凝固时间)检测仪配套试管</w:t>
      </w:r>
    </w:p>
    <w:p w14:paraId="578906B6">
      <w:pPr>
        <w:widowControl/>
        <w:spacing w:line="400" w:lineRule="exact"/>
        <w:ind w:firstLine="480" w:firstLineChars="200"/>
        <w:rPr>
          <w:rFonts w:hint="eastAsia" w:ascii="宋体" w:hAnsi="宋体" w:eastAsia="宋体" w:cs="宋体"/>
          <w:color w:val="000000"/>
          <w:sz w:val="24"/>
          <w:szCs w:val="24"/>
          <w:lang w:eastAsia="zh-CN"/>
        </w:rPr>
      </w:pPr>
      <w:r>
        <w:rPr>
          <w:rFonts w:hint="eastAsia" w:ascii="宋体" w:hAnsi="宋体" w:cs="宋体"/>
          <w:color w:val="000000"/>
          <w:sz w:val="24"/>
          <w:szCs w:val="24"/>
        </w:rPr>
        <w:t>采购方式：</w:t>
      </w:r>
      <w:r>
        <w:rPr>
          <w:rFonts w:hint="eastAsia" w:ascii="宋体" w:hAnsi="宋体" w:cs="宋体"/>
          <w:color w:val="000000"/>
          <w:sz w:val="24"/>
          <w:szCs w:val="24"/>
          <w:lang w:val="en-US" w:eastAsia="zh-CN"/>
        </w:rPr>
        <w:t>单一来源</w:t>
      </w:r>
    </w:p>
    <w:p w14:paraId="124BE272">
      <w:pPr>
        <w:widowControl/>
        <w:spacing w:line="400" w:lineRule="exact"/>
        <w:ind w:firstLine="480" w:firstLineChars="200"/>
        <w:rPr>
          <w:rFonts w:hint="eastAsia" w:ascii="宋体" w:hAnsi="宋体" w:cs="宋体"/>
          <w:color w:val="000000"/>
          <w:sz w:val="24"/>
          <w:szCs w:val="24"/>
        </w:rPr>
      </w:pPr>
      <w:r>
        <w:rPr>
          <w:rFonts w:hint="eastAsia" w:ascii="宋体" w:hAnsi="宋体" w:cs="宋体"/>
          <w:color w:val="000000"/>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456"/>
        <w:gridCol w:w="1327"/>
        <w:gridCol w:w="1594"/>
        <w:gridCol w:w="1594"/>
      </w:tblGrid>
      <w:tr w14:paraId="03BEA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87" w:type="dxa"/>
            <w:noWrap w:val="0"/>
            <w:vAlign w:val="center"/>
          </w:tcPr>
          <w:p w14:paraId="5EE6A29B">
            <w:pPr>
              <w:pStyle w:val="52"/>
              <w:spacing w:before="120" w:beforeLines="50" w:beforeAutospacing="0" w:after="0" w:afterAutospacing="0" w:line="400" w:lineRule="exact"/>
              <w:jc w:val="center"/>
              <w:rPr>
                <w:rFonts w:hint="default" w:ascii="Times New Roman" w:hAnsi="Times New Roman" w:eastAsia="宋体" w:cs="Times New Roman"/>
                <w:color w:val="000000"/>
                <w:kern w:val="2"/>
                <w:szCs w:val="24"/>
                <w:lang w:val="en-US" w:eastAsia="zh-CN"/>
              </w:rPr>
            </w:pPr>
            <w:r>
              <w:rPr>
                <w:rFonts w:hint="default" w:ascii="Times New Roman" w:hAnsi="Times New Roman" w:eastAsia="宋体" w:cs="Times New Roman"/>
                <w:color w:val="000000"/>
                <w:kern w:val="2"/>
                <w:szCs w:val="24"/>
                <w:lang w:val="en-US" w:eastAsia="zh-CN"/>
              </w:rPr>
              <w:t>包号</w:t>
            </w:r>
          </w:p>
        </w:tc>
        <w:tc>
          <w:tcPr>
            <w:tcW w:w="2456" w:type="dxa"/>
            <w:noWrap w:val="0"/>
            <w:vAlign w:val="center"/>
          </w:tcPr>
          <w:p w14:paraId="503560E4">
            <w:pPr>
              <w:pStyle w:val="52"/>
              <w:spacing w:before="120" w:beforeLines="50" w:beforeAutospacing="0" w:after="0" w:afterAutospacing="0" w:line="400" w:lineRule="exact"/>
              <w:jc w:val="center"/>
              <w:rPr>
                <w:rFonts w:hint="default" w:ascii="Times New Roman" w:hAnsi="Times New Roman" w:eastAsia="宋体" w:cs="Times New Roman"/>
                <w:color w:val="000000"/>
                <w:kern w:val="2"/>
                <w:szCs w:val="24"/>
              </w:rPr>
            </w:pPr>
            <w:r>
              <w:rPr>
                <w:rFonts w:hint="default" w:ascii="Times New Roman" w:hAnsi="Times New Roman" w:eastAsia="宋体" w:cs="Times New Roman"/>
                <w:color w:val="000000"/>
                <w:kern w:val="2"/>
                <w:szCs w:val="24"/>
              </w:rPr>
              <w:t>名称</w:t>
            </w:r>
          </w:p>
        </w:tc>
        <w:tc>
          <w:tcPr>
            <w:tcW w:w="1327" w:type="dxa"/>
            <w:noWrap w:val="0"/>
            <w:vAlign w:val="center"/>
          </w:tcPr>
          <w:p w14:paraId="12F29671">
            <w:pPr>
              <w:pStyle w:val="52"/>
              <w:spacing w:before="120" w:beforeLines="50" w:beforeAutospacing="0" w:after="0" w:afterAutospacing="0" w:line="400" w:lineRule="exact"/>
              <w:jc w:val="center"/>
              <w:rPr>
                <w:rFonts w:hint="default" w:ascii="Times New Roman" w:hAnsi="Times New Roman" w:eastAsia="宋体" w:cs="Times New Roman"/>
                <w:color w:val="000000"/>
                <w:kern w:val="2"/>
                <w:sz w:val="24"/>
                <w:szCs w:val="24"/>
                <w:lang w:val="en-US" w:eastAsia="zh-CN" w:bidi="ar-SA"/>
              </w:rPr>
            </w:pPr>
            <w:r>
              <w:rPr>
                <w:rFonts w:hint="default" w:ascii="Times New Roman" w:hAnsi="Times New Roman" w:eastAsia="宋体" w:cs="Times New Roman"/>
                <w:color w:val="000000"/>
                <w:kern w:val="2"/>
                <w:szCs w:val="24"/>
              </w:rPr>
              <w:t>采购数量</w:t>
            </w:r>
          </w:p>
        </w:tc>
        <w:tc>
          <w:tcPr>
            <w:tcW w:w="1594" w:type="dxa"/>
            <w:noWrap w:val="0"/>
            <w:vAlign w:val="center"/>
          </w:tcPr>
          <w:p w14:paraId="3C30E8E5">
            <w:pPr>
              <w:pStyle w:val="52"/>
              <w:spacing w:before="120" w:beforeLines="50" w:beforeAutospacing="0" w:after="0" w:afterAutospacing="0" w:line="400" w:lineRule="exact"/>
              <w:jc w:val="center"/>
              <w:rPr>
                <w:rFonts w:hint="default" w:ascii="Times New Roman" w:hAnsi="Times New Roman" w:eastAsia="宋体" w:cs="Times New Roman"/>
                <w:color w:val="000000"/>
                <w:kern w:val="2"/>
                <w:sz w:val="24"/>
                <w:szCs w:val="24"/>
                <w:lang w:val="en-US" w:eastAsia="zh-CN" w:bidi="ar-SA"/>
              </w:rPr>
            </w:pPr>
            <w:r>
              <w:rPr>
                <w:rFonts w:hint="default" w:ascii="Times New Roman" w:hAnsi="Times New Roman" w:eastAsia="宋体" w:cs="Times New Roman"/>
                <w:color w:val="000000"/>
                <w:kern w:val="2"/>
                <w:szCs w:val="24"/>
              </w:rPr>
              <w:t>成交供应商</w:t>
            </w:r>
            <w:r>
              <w:rPr>
                <w:rFonts w:hint="default" w:ascii="Times New Roman" w:hAnsi="Times New Roman" w:eastAsia="宋体" w:cs="Times New Roman"/>
                <w:color w:val="000000"/>
                <w:kern w:val="2"/>
                <w:szCs w:val="24"/>
                <w:lang w:val="en-US" w:eastAsia="zh-CN"/>
              </w:rPr>
              <w:t>/品牌</w:t>
            </w:r>
            <w:r>
              <w:rPr>
                <w:rFonts w:hint="default" w:ascii="Times New Roman" w:hAnsi="Times New Roman" w:eastAsia="宋体" w:cs="Times New Roman"/>
                <w:color w:val="000000"/>
                <w:kern w:val="2"/>
                <w:szCs w:val="24"/>
              </w:rPr>
              <w:t>(个）</w:t>
            </w:r>
          </w:p>
        </w:tc>
        <w:tc>
          <w:tcPr>
            <w:tcW w:w="1594" w:type="dxa"/>
            <w:noWrap w:val="0"/>
            <w:vAlign w:val="center"/>
          </w:tcPr>
          <w:p w14:paraId="25DF4301">
            <w:pPr>
              <w:pStyle w:val="52"/>
              <w:spacing w:before="120" w:beforeLines="50" w:beforeAutospacing="0" w:after="0" w:afterAutospacing="0" w:line="400" w:lineRule="exact"/>
              <w:jc w:val="center"/>
              <w:rPr>
                <w:rFonts w:hint="default" w:ascii="Times New Roman" w:hAnsi="Times New Roman" w:eastAsia="宋体" w:cs="Times New Roman"/>
                <w:color w:val="000000"/>
                <w:kern w:val="2"/>
                <w:sz w:val="24"/>
                <w:szCs w:val="24"/>
                <w:lang w:val="en-US" w:eastAsia="zh-CN" w:bidi="ar-SA"/>
              </w:rPr>
            </w:pPr>
            <w:r>
              <w:rPr>
                <w:rFonts w:hint="default" w:ascii="Times New Roman" w:hAnsi="Times New Roman" w:eastAsia="宋体" w:cs="Times New Roman"/>
                <w:color w:val="000000"/>
                <w:kern w:val="2"/>
                <w:sz w:val="24"/>
                <w:szCs w:val="24"/>
                <w:lang w:val="en-US" w:eastAsia="zh-CN" w:bidi="ar-SA"/>
              </w:rPr>
              <w:t>需求科室</w:t>
            </w:r>
          </w:p>
        </w:tc>
      </w:tr>
      <w:tr w14:paraId="1ED63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7" w:type="dxa"/>
            <w:noWrap w:val="0"/>
            <w:vAlign w:val="center"/>
          </w:tcPr>
          <w:p w14:paraId="480F7BA1">
            <w:pPr>
              <w:widowControl/>
              <w:spacing w:line="400" w:lineRule="exact"/>
              <w:jc w:val="center"/>
              <w:rPr>
                <w:rFonts w:hint="default" w:ascii="Times New Roman" w:hAnsi="Times New Roman" w:cs="Times New Roman"/>
                <w:color w:val="000000"/>
                <w:sz w:val="24"/>
                <w:szCs w:val="24"/>
                <w:lang w:val="en-US" w:eastAsia="zh-CN"/>
              </w:rPr>
            </w:pPr>
            <w:r>
              <w:rPr>
                <w:rFonts w:hint="eastAsia" w:ascii="Times New Roman" w:hAnsi="Times New Roman" w:cs="Times New Roman"/>
                <w:color w:val="000000"/>
                <w:sz w:val="24"/>
                <w:szCs w:val="24"/>
                <w:lang w:val="en-US" w:eastAsia="zh-CN"/>
              </w:rPr>
              <w:t>包一</w:t>
            </w:r>
          </w:p>
        </w:tc>
        <w:tc>
          <w:tcPr>
            <w:tcW w:w="2456" w:type="dxa"/>
            <w:noWrap w:val="0"/>
            <w:vAlign w:val="center"/>
          </w:tcPr>
          <w:p w14:paraId="58B652FF">
            <w:pPr>
              <w:keepNext w:val="0"/>
              <w:keepLines w:val="0"/>
              <w:widowControl/>
              <w:suppressLineNumbers w:val="0"/>
              <w:jc w:val="center"/>
              <w:textAlignment w:val="center"/>
              <w:rPr>
                <w:rFonts w:hint="default"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房间隔穿刺导丝</w:t>
            </w:r>
          </w:p>
        </w:tc>
        <w:tc>
          <w:tcPr>
            <w:tcW w:w="1327" w:type="dxa"/>
            <w:noWrap w:val="0"/>
            <w:vAlign w:val="center"/>
          </w:tcPr>
          <w:p w14:paraId="6980B3F1">
            <w:pPr>
              <w:widowControl/>
              <w:spacing w:line="400" w:lineRule="exact"/>
              <w:jc w:val="center"/>
              <w:rPr>
                <w:rFonts w:hint="default"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按实结算</w:t>
            </w:r>
          </w:p>
        </w:tc>
        <w:tc>
          <w:tcPr>
            <w:tcW w:w="1594" w:type="dxa"/>
            <w:noWrap w:val="0"/>
            <w:vAlign w:val="center"/>
          </w:tcPr>
          <w:p w14:paraId="690F338D">
            <w:pPr>
              <w:widowControl/>
              <w:spacing w:line="400" w:lineRule="exact"/>
              <w:jc w:val="center"/>
              <w:rPr>
                <w:rFonts w:hint="eastAsia" w:ascii="Times New Roman" w:hAnsi="Times New Roman" w:cs="Times New Roman"/>
                <w:color w:val="000000"/>
                <w:sz w:val="24"/>
                <w:szCs w:val="24"/>
                <w:lang w:val="en-US" w:eastAsia="zh-CN"/>
              </w:rPr>
            </w:pPr>
            <w:r>
              <w:rPr>
                <w:rFonts w:hint="eastAsia" w:ascii="Times New Roman" w:hAnsi="Times New Roman" w:cs="Times New Roman"/>
                <w:color w:val="000000"/>
                <w:sz w:val="24"/>
                <w:szCs w:val="24"/>
                <w:lang w:val="en-US" w:eastAsia="zh-CN"/>
              </w:rPr>
              <w:t>1</w:t>
            </w:r>
          </w:p>
        </w:tc>
        <w:tc>
          <w:tcPr>
            <w:tcW w:w="1594" w:type="dxa"/>
            <w:vMerge w:val="restart"/>
            <w:noWrap w:val="0"/>
            <w:vAlign w:val="center"/>
          </w:tcPr>
          <w:p w14:paraId="2A3C1BC5">
            <w:pPr>
              <w:widowControl/>
              <w:spacing w:line="400" w:lineRule="exact"/>
              <w:jc w:val="center"/>
              <w:rPr>
                <w:rFonts w:hint="default" w:ascii="Times New Roman" w:hAnsi="Times New Roman" w:cs="Times New Roman"/>
                <w:color w:val="000000"/>
                <w:sz w:val="24"/>
                <w:szCs w:val="24"/>
                <w:lang w:val="en-US" w:eastAsia="zh-CN"/>
              </w:rPr>
            </w:pPr>
            <w:r>
              <w:rPr>
                <w:rFonts w:hint="eastAsia" w:ascii="宋体" w:hAnsi="宋体" w:cs="宋体"/>
                <w:color w:val="000000"/>
                <w:sz w:val="24"/>
                <w:szCs w:val="24"/>
              </w:rPr>
              <w:t>心血管内科</w:t>
            </w:r>
          </w:p>
        </w:tc>
      </w:tr>
      <w:tr w14:paraId="0DD07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7" w:type="dxa"/>
            <w:noWrap w:val="0"/>
            <w:vAlign w:val="center"/>
          </w:tcPr>
          <w:p w14:paraId="4F4CA696">
            <w:pPr>
              <w:widowControl/>
              <w:spacing w:line="400" w:lineRule="exact"/>
              <w:jc w:val="center"/>
              <w:rPr>
                <w:rFonts w:hint="eastAsia" w:ascii="Times New Roman" w:hAnsi="Times New Roman" w:cs="Times New Roman"/>
                <w:color w:val="000000"/>
                <w:sz w:val="24"/>
                <w:szCs w:val="24"/>
                <w:lang w:val="en-US" w:eastAsia="zh-CN"/>
              </w:rPr>
            </w:pPr>
            <w:r>
              <w:rPr>
                <w:rFonts w:hint="eastAsia" w:ascii="Times New Roman" w:hAnsi="Times New Roman" w:cs="Times New Roman"/>
                <w:color w:val="000000"/>
                <w:sz w:val="24"/>
                <w:szCs w:val="24"/>
                <w:lang w:val="en-US" w:eastAsia="zh-CN"/>
              </w:rPr>
              <w:t>包</w:t>
            </w:r>
            <w:r>
              <w:rPr>
                <w:rFonts w:hint="eastAsia" w:cs="Times New Roman"/>
                <w:color w:val="000000"/>
                <w:sz w:val="24"/>
                <w:szCs w:val="24"/>
                <w:lang w:val="en-US" w:eastAsia="zh-CN"/>
              </w:rPr>
              <w:t>二</w:t>
            </w:r>
          </w:p>
        </w:tc>
        <w:tc>
          <w:tcPr>
            <w:tcW w:w="2456" w:type="dxa"/>
            <w:noWrap w:val="0"/>
            <w:vAlign w:val="center"/>
          </w:tcPr>
          <w:p w14:paraId="295BF222">
            <w:pPr>
              <w:keepNext w:val="0"/>
              <w:keepLines w:val="0"/>
              <w:widowControl/>
              <w:suppressLineNumbers w:val="0"/>
              <w:jc w:val="center"/>
              <w:textAlignment w:val="center"/>
              <w:rPr>
                <w:rFonts w:hint="default" w:ascii="Times New Roman" w:hAnsi="Times New Roman" w:cs="Times New Roman"/>
                <w:color w:val="000000"/>
                <w:sz w:val="24"/>
                <w:szCs w:val="24"/>
                <w:lang w:val="en-US" w:eastAsia="zh-CN"/>
              </w:rPr>
            </w:pPr>
            <w:r>
              <w:rPr>
                <w:rFonts w:hint="eastAsia" w:ascii="宋体" w:hAnsi="宋体" w:cs="宋体"/>
                <w:color w:val="auto"/>
                <w:sz w:val="24"/>
                <w:szCs w:val="24"/>
              </w:rPr>
              <w:t>一次性使用血管内成像导管</w:t>
            </w:r>
          </w:p>
        </w:tc>
        <w:tc>
          <w:tcPr>
            <w:tcW w:w="1327" w:type="dxa"/>
            <w:noWrap w:val="0"/>
            <w:vAlign w:val="center"/>
          </w:tcPr>
          <w:p w14:paraId="25676A09">
            <w:pPr>
              <w:pStyle w:val="52"/>
              <w:spacing w:before="120" w:beforeLines="50" w:beforeAutospacing="0" w:after="0" w:afterAutospacing="0" w:line="400" w:lineRule="exact"/>
              <w:jc w:val="center"/>
              <w:rPr>
                <w:rFonts w:hint="default" w:ascii="Times New Roman" w:hAnsi="Times New Roman" w:cs="Times New Roman"/>
                <w:color w:val="000000"/>
                <w:sz w:val="24"/>
                <w:szCs w:val="24"/>
                <w:lang w:val="en-US" w:eastAsia="zh-CN"/>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7A6F252E">
            <w:pPr>
              <w:pStyle w:val="52"/>
              <w:spacing w:before="120" w:beforeLines="50" w:beforeAutospacing="0" w:after="0" w:afterAutospacing="0" w:line="400" w:lineRule="exact"/>
              <w:jc w:val="center"/>
              <w:rPr>
                <w:rFonts w:hint="eastAsia" w:ascii="Times New Roman" w:hAnsi="Times New Roman" w:cs="Times New Roman"/>
                <w:color w:val="000000"/>
                <w:sz w:val="24"/>
                <w:szCs w:val="24"/>
                <w:lang w:val="en-US" w:eastAsia="zh-CN"/>
              </w:rPr>
            </w:pPr>
            <w:r>
              <w:rPr>
                <w:rFonts w:hint="eastAsia" w:ascii="宋体" w:hAnsi="宋体" w:eastAsia="宋体" w:cs="宋体"/>
                <w:color w:val="auto"/>
                <w:kern w:val="2"/>
                <w:sz w:val="24"/>
                <w:szCs w:val="24"/>
                <w:lang w:val="en-US" w:eastAsia="zh-CN" w:bidi="ar-SA"/>
              </w:rPr>
              <w:t>1</w:t>
            </w:r>
          </w:p>
        </w:tc>
        <w:tc>
          <w:tcPr>
            <w:tcW w:w="1594" w:type="dxa"/>
            <w:vMerge w:val="continue"/>
            <w:noWrap w:val="0"/>
            <w:vAlign w:val="center"/>
          </w:tcPr>
          <w:p w14:paraId="4651C8AF">
            <w:pPr>
              <w:widowControl/>
              <w:spacing w:line="400" w:lineRule="exact"/>
              <w:jc w:val="center"/>
              <w:rPr>
                <w:rFonts w:hint="eastAsia" w:ascii="宋体" w:hAnsi="宋体" w:cs="宋体"/>
                <w:color w:val="000000"/>
                <w:sz w:val="24"/>
                <w:szCs w:val="24"/>
              </w:rPr>
            </w:pPr>
          </w:p>
        </w:tc>
      </w:tr>
      <w:tr w14:paraId="49811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7" w:type="dxa"/>
            <w:noWrap w:val="0"/>
            <w:vAlign w:val="center"/>
          </w:tcPr>
          <w:p w14:paraId="1603F774">
            <w:pPr>
              <w:widowControl/>
              <w:spacing w:line="400" w:lineRule="exact"/>
              <w:jc w:val="center"/>
              <w:rPr>
                <w:rFonts w:hint="eastAsia" w:ascii="Times New Roman" w:hAnsi="Times New Roman" w:cs="Times New Roman"/>
                <w:color w:val="000000"/>
                <w:sz w:val="24"/>
                <w:szCs w:val="24"/>
                <w:lang w:val="en-US" w:eastAsia="zh-CN"/>
              </w:rPr>
            </w:pPr>
            <w:r>
              <w:rPr>
                <w:rFonts w:hint="eastAsia" w:cs="Times New Roman"/>
                <w:color w:val="000000"/>
                <w:sz w:val="24"/>
                <w:szCs w:val="24"/>
                <w:lang w:val="en-US" w:eastAsia="zh-CN"/>
              </w:rPr>
              <w:t>包三</w:t>
            </w:r>
          </w:p>
        </w:tc>
        <w:tc>
          <w:tcPr>
            <w:tcW w:w="2456" w:type="dxa"/>
            <w:noWrap w:val="0"/>
            <w:vAlign w:val="center"/>
          </w:tcPr>
          <w:p w14:paraId="3BFDC5FA">
            <w:pPr>
              <w:keepNext w:val="0"/>
              <w:keepLines w:val="0"/>
              <w:widowControl/>
              <w:suppressLineNumbers w:val="0"/>
              <w:jc w:val="center"/>
              <w:textAlignment w:val="center"/>
              <w:rPr>
                <w:rFonts w:hint="default" w:ascii="Times New Roman" w:hAnsi="Times New Roman" w:cs="Times New Roman"/>
                <w:color w:val="000000"/>
                <w:sz w:val="24"/>
                <w:szCs w:val="24"/>
                <w:lang w:val="en-US" w:eastAsia="zh-CN"/>
              </w:rPr>
            </w:pPr>
            <w:r>
              <w:rPr>
                <w:rFonts w:hint="eastAsia" w:ascii="宋体" w:hAnsi="宋体" w:cs="宋体"/>
                <w:color w:val="000000"/>
                <w:sz w:val="24"/>
                <w:szCs w:val="24"/>
              </w:rPr>
              <w:t>传送鞘管</w:t>
            </w:r>
          </w:p>
        </w:tc>
        <w:tc>
          <w:tcPr>
            <w:tcW w:w="1327" w:type="dxa"/>
            <w:noWrap w:val="0"/>
            <w:vAlign w:val="center"/>
          </w:tcPr>
          <w:p w14:paraId="2AA16F93">
            <w:pPr>
              <w:widowControl/>
              <w:spacing w:line="400" w:lineRule="exact"/>
              <w:jc w:val="center"/>
              <w:rPr>
                <w:rFonts w:hint="default"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按实结算</w:t>
            </w:r>
          </w:p>
        </w:tc>
        <w:tc>
          <w:tcPr>
            <w:tcW w:w="1594" w:type="dxa"/>
            <w:noWrap w:val="0"/>
            <w:vAlign w:val="center"/>
          </w:tcPr>
          <w:p w14:paraId="2B4C02A0">
            <w:pPr>
              <w:widowControl/>
              <w:spacing w:line="400" w:lineRule="exact"/>
              <w:jc w:val="center"/>
              <w:rPr>
                <w:rFonts w:hint="eastAsia" w:ascii="Times New Roman" w:hAnsi="Times New Roman" w:cs="Times New Roman"/>
                <w:color w:val="000000"/>
                <w:sz w:val="24"/>
                <w:szCs w:val="24"/>
                <w:lang w:val="en-US" w:eastAsia="zh-CN"/>
              </w:rPr>
            </w:pPr>
            <w:r>
              <w:rPr>
                <w:rFonts w:hint="eastAsia" w:ascii="Times New Roman" w:hAnsi="Times New Roman" w:cs="Times New Roman"/>
                <w:color w:val="000000"/>
                <w:sz w:val="24"/>
                <w:szCs w:val="24"/>
                <w:lang w:val="en-US" w:eastAsia="zh-CN"/>
              </w:rPr>
              <w:t>1</w:t>
            </w:r>
          </w:p>
        </w:tc>
        <w:tc>
          <w:tcPr>
            <w:tcW w:w="1594" w:type="dxa"/>
            <w:vMerge w:val="continue"/>
            <w:noWrap w:val="0"/>
            <w:vAlign w:val="center"/>
          </w:tcPr>
          <w:p w14:paraId="62ED3164">
            <w:pPr>
              <w:widowControl/>
              <w:spacing w:line="400" w:lineRule="exact"/>
              <w:jc w:val="center"/>
              <w:rPr>
                <w:rFonts w:hint="eastAsia" w:ascii="宋体" w:hAnsi="宋体" w:cs="宋体"/>
                <w:color w:val="000000"/>
                <w:sz w:val="24"/>
                <w:szCs w:val="24"/>
              </w:rPr>
            </w:pPr>
          </w:p>
        </w:tc>
      </w:tr>
      <w:tr w14:paraId="7B0BD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7" w:type="dxa"/>
            <w:noWrap w:val="0"/>
            <w:vAlign w:val="center"/>
          </w:tcPr>
          <w:p w14:paraId="7C690DDD">
            <w:pPr>
              <w:widowControl/>
              <w:spacing w:line="400" w:lineRule="exact"/>
              <w:jc w:val="center"/>
              <w:rPr>
                <w:rFonts w:hint="eastAsia" w:ascii="Times New Roman" w:hAnsi="Times New Roman" w:cs="Times New Roman"/>
                <w:color w:val="000000"/>
                <w:sz w:val="24"/>
                <w:szCs w:val="24"/>
                <w:lang w:val="en-US" w:eastAsia="zh-CN"/>
              </w:rPr>
            </w:pPr>
            <w:r>
              <w:rPr>
                <w:rFonts w:hint="eastAsia" w:cs="Times New Roman"/>
                <w:color w:val="000000"/>
                <w:sz w:val="24"/>
                <w:szCs w:val="24"/>
                <w:lang w:val="en-US" w:eastAsia="zh-CN"/>
              </w:rPr>
              <w:t>包四</w:t>
            </w:r>
          </w:p>
        </w:tc>
        <w:tc>
          <w:tcPr>
            <w:tcW w:w="2456" w:type="dxa"/>
            <w:noWrap w:val="0"/>
            <w:vAlign w:val="center"/>
          </w:tcPr>
          <w:p w14:paraId="660B317D">
            <w:pPr>
              <w:keepNext w:val="0"/>
              <w:keepLines w:val="0"/>
              <w:widowControl/>
              <w:suppressLineNumbers w:val="0"/>
              <w:jc w:val="center"/>
              <w:textAlignment w:val="center"/>
              <w:rPr>
                <w:rFonts w:hint="default" w:ascii="Times New Roman" w:hAnsi="Times New Roman" w:cs="Times New Roman"/>
                <w:color w:val="000000"/>
                <w:sz w:val="24"/>
                <w:szCs w:val="24"/>
                <w:lang w:val="en-US" w:eastAsia="zh-CN"/>
              </w:rPr>
            </w:pPr>
            <w:r>
              <w:rPr>
                <w:rFonts w:hint="eastAsia" w:ascii="宋体" w:hAnsi="宋体" w:cs="宋体"/>
                <w:color w:val="000000"/>
                <w:sz w:val="24"/>
                <w:szCs w:val="24"/>
              </w:rPr>
              <w:t>左心部传送导管系统、传送导管系统</w:t>
            </w:r>
          </w:p>
        </w:tc>
        <w:tc>
          <w:tcPr>
            <w:tcW w:w="1327" w:type="dxa"/>
            <w:noWrap w:val="0"/>
            <w:vAlign w:val="center"/>
          </w:tcPr>
          <w:p w14:paraId="59AB4A21">
            <w:pPr>
              <w:widowControl/>
              <w:spacing w:line="400" w:lineRule="exact"/>
              <w:jc w:val="center"/>
              <w:rPr>
                <w:rFonts w:hint="default"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按实结算</w:t>
            </w:r>
          </w:p>
        </w:tc>
        <w:tc>
          <w:tcPr>
            <w:tcW w:w="1594" w:type="dxa"/>
            <w:noWrap w:val="0"/>
            <w:vAlign w:val="center"/>
          </w:tcPr>
          <w:p w14:paraId="1CB96DFC">
            <w:pPr>
              <w:widowControl/>
              <w:spacing w:line="400" w:lineRule="exact"/>
              <w:jc w:val="center"/>
              <w:rPr>
                <w:rFonts w:hint="eastAsia" w:ascii="Times New Roman" w:hAnsi="Times New Roman" w:cs="Times New Roman"/>
                <w:color w:val="000000"/>
                <w:sz w:val="24"/>
                <w:szCs w:val="24"/>
                <w:lang w:val="en-US" w:eastAsia="zh-CN"/>
              </w:rPr>
            </w:pPr>
            <w:r>
              <w:rPr>
                <w:rFonts w:hint="eastAsia" w:ascii="Times New Roman" w:hAnsi="Times New Roman" w:cs="Times New Roman"/>
                <w:color w:val="000000"/>
                <w:sz w:val="24"/>
                <w:szCs w:val="24"/>
                <w:lang w:val="en-US" w:eastAsia="zh-CN"/>
              </w:rPr>
              <w:t>1</w:t>
            </w:r>
          </w:p>
        </w:tc>
        <w:tc>
          <w:tcPr>
            <w:tcW w:w="1594" w:type="dxa"/>
            <w:vMerge w:val="continue"/>
            <w:noWrap w:val="0"/>
            <w:vAlign w:val="center"/>
          </w:tcPr>
          <w:p w14:paraId="21CD0111">
            <w:pPr>
              <w:widowControl/>
              <w:spacing w:line="400" w:lineRule="exact"/>
              <w:jc w:val="center"/>
              <w:rPr>
                <w:rFonts w:hint="eastAsia" w:ascii="宋体" w:hAnsi="宋体" w:cs="宋体"/>
                <w:color w:val="000000"/>
                <w:sz w:val="24"/>
                <w:szCs w:val="24"/>
              </w:rPr>
            </w:pPr>
          </w:p>
        </w:tc>
      </w:tr>
      <w:tr w14:paraId="65E87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7" w:type="dxa"/>
            <w:noWrap w:val="0"/>
            <w:vAlign w:val="center"/>
          </w:tcPr>
          <w:p w14:paraId="2AF33288">
            <w:pPr>
              <w:widowControl/>
              <w:spacing w:line="400" w:lineRule="exact"/>
              <w:jc w:val="center"/>
              <w:rPr>
                <w:rFonts w:hint="eastAsia" w:ascii="Times New Roman" w:hAnsi="Times New Roman" w:cs="Times New Roman"/>
                <w:color w:val="000000"/>
                <w:sz w:val="24"/>
                <w:szCs w:val="24"/>
                <w:lang w:val="en-US" w:eastAsia="zh-CN"/>
              </w:rPr>
            </w:pPr>
            <w:r>
              <w:rPr>
                <w:rFonts w:hint="eastAsia" w:cs="Times New Roman"/>
                <w:color w:val="000000"/>
                <w:sz w:val="24"/>
                <w:szCs w:val="24"/>
                <w:lang w:val="en-US" w:eastAsia="zh-CN"/>
              </w:rPr>
              <w:t>包五</w:t>
            </w:r>
          </w:p>
        </w:tc>
        <w:tc>
          <w:tcPr>
            <w:tcW w:w="2456" w:type="dxa"/>
            <w:noWrap w:val="0"/>
            <w:vAlign w:val="center"/>
          </w:tcPr>
          <w:p w14:paraId="0095C6E5">
            <w:pPr>
              <w:keepNext w:val="0"/>
              <w:keepLines w:val="0"/>
              <w:widowControl/>
              <w:suppressLineNumbers w:val="0"/>
              <w:jc w:val="center"/>
              <w:textAlignment w:val="center"/>
              <w:rPr>
                <w:rFonts w:hint="default" w:ascii="Times New Roman" w:hAnsi="Times New Roman" w:cs="Times New Roman"/>
                <w:color w:val="000000"/>
                <w:sz w:val="24"/>
                <w:szCs w:val="24"/>
                <w:lang w:val="en-US" w:eastAsia="zh-CN"/>
              </w:rPr>
            </w:pPr>
            <w:r>
              <w:rPr>
                <w:rFonts w:hint="eastAsia" w:ascii="宋体" w:hAnsi="宋体" w:cs="宋体"/>
                <w:color w:val="000000"/>
                <w:sz w:val="24"/>
                <w:szCs w:val="24"/>
              </w:rPr>
              <w:t>传送导管</w:t>
            </w:r>
          </w:p>
        </w:tc>
        <w:tc>
          <w:tcPr>
            <w:tcW w:w="1327" w:type="dxa"/>
            <w:noWrap w:val="0"/>
            <w:vAlign w:val="center"/>
          </w:tcPr>
          <w:p w14:paraId="04361DC7">
            <w:pPr>
              <w:widowControl/>
              <w:spacing w:line="400" w:lineRule="exact"/>
              <w:jc w:val="center"/>
              <w:rPr>
                <w:rFonts w:hint="default"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按实结算</w:t>
            </w:r>
          </w:p>
        </w:tc>
        <w:tc>
          <w:tcPr>
            <w:tcW w:w="1594" w:type="dxa"/>
            <w:noWrap w:val="0"/>
            <w:vAlign w:val="center"/>
          </w:tcPr>
          <w:p w14:paraId="610C3F90">
            <w:pPr>
              <w:widowControl/>
              <w:spacing w:line="400" w:lineRule="exact"/>
              <w:jc w:val="center"/>
              <w:rPr>
                <w:rFonts w:hint="eastAsia" w:ascii="Times New Roman" w:hAnsi="Times New Roman" w:cs="Times New Roman"/>
                <w:color w:val="000000"/>
                <w:sz w:val="24"/>
                <w:szCs w:val="24"/>
                <w:lang w:val="en-US" w:eastAsia="zh-CN"/>
              </w:rPr>
            </w:pPr>
            <w:r>
              <w:rPr>
                <w:rFonts w:hint="eastAsia" w:ascii="Times New Roman" w:hAnsi="Times New Roman" w:cs="Times New Roman"/>
                <w:color w:val="000000"/>
                <w:sz w:val="24"/>
                <w:szCs w:val="24"/>
                <w:lang w:val="en-US" w:eastAsia="zh-CN"/>
              </w:rPr>
              <w:t>1</w:t>
            </w:r>
          </w:p>
        </w:tc>
        <w:tc>
          <w:tcPr>
            <w:tcW w:w="1594" w:type="dxa"/>
            <w:vMerge w:val="continue"/>
            <w:noWrap w:val="0"/>
            <w:vAlign w:val="center"/>
          </w:tcPr>
          <w:p w14:paraId="6BFB6905">
            <w:pPr>
              <w:widowControl/>
              <w:spacing w:line="400" w:lineRule="exact"/>
              <w:jc w:val="center"/>
              <w:rPr>
                <w:rFonts w:hint="eastAsia" w:ascii="宋体" w:hAnsi="宋体" w:cs="宋体"/>
                <w:color w:val="000000"/>
                <w:sz w:val="24"/>
                <w:szCs w:val="24"/>
              </w:rPr>
            </w:pPr>
          </w:p>
        </w:tc>
      </w:tr>
      <w:tr w14:paraId="49F84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7" w:type="dxa"/>
            <w:noWrap w:val="0"/>
            <w:vAlign w:val="center"/>
          </w:tcPr>
          <w:p w14:paraId="55FF2B0E">
            <w:pPr>
              <w:widowControl/>
              <w:spacing w:line="400" w:lineRule="exact"/>
              <w:jc w:val="center"/>
              <w:rPr>
                <w:rFonts w:hint="default" w:ascii="Times New Roman" w:hAnsi="Times New Roman" w:cs="Times New Roman"/>
                <w:color w:val="000000"/>
                <w:sz w:val="24"/>
                <w:szCs w:val="24"/>
                <w:lang w:val="en-US" w:eastAsia="zh-CN"/>
              </w:rPr>
            </w:pPr>
            <w:r>
              <w:rPr>
                <w:rFonts w:hint="eastAsia" w:cs="Times New Roman"/>
                <w:color w:val="000000"/>
                <w:sz w:val="24"/>
                <w:szCs w:val="24"/>
                <w:lang w:val="en-US" w:eastAsia="zh-CN"/>
              </w:rPr>
              <w:t>包六</w:t>
            </w:r>
          </w:p>
        </w:tc>
        <w:tc>
          <w:tcPr>
            <w:tcW w:w="2456" w:type="dxa"/>
            <w:noWrap w:val="0"/>
            <w:vAlign w:val="center"/>
          </w:tcPr>
          <w:p w14:paraId="3320995B">
            <w:pPr>
              <w:keepNext w:val="0"/>
              <w:keepLines w:val="0"/>
              <w:widowControl/>
              <w:suppressLineNumbers w:val="0"/>
              <w:jc w:val="center"/>
              <w:textAlignment w:val="center"/>
              <w:rPr>
                <w:rFonts w:hint="default" w:ascii="Times New Roman" w:hAnsi="Times New Roman" w:cs="Times New Roman"/>
                <w:color w:val="000000"/>
                <w:sz w:val="24"/>
                <w:szCs w:val="24"/>
                <w:lang w:val="en-US" w:eastAsia="zh-CN"/>
              </w:rPr>
            </w:pPr>
            <w:r>
              <w:rPr>
                <w:rFonts w:hint="eastAsia" w:ascii="宋体" w:hAnsi="宋体" w:cs="宋体"/>
                <w:color w:val="000000"/>
                <w:sz w:val="24"/>
                <w:szCs w:val="24"/>
              </w:rPr>
              <w:t>一次性使用压力监测射频消融导管</w:t>
            </w:r>
          </w:p>
        </w:tc>
        <w:tc>
          <w:tcPr>
            <w:tcW w:w="1327" w:type="dxa"/>
            <w:noWrap w:val="0"/>
            <w:vAlign w:val="center"/>
          </w:tcPr>
          <w:p w14:paraId="79BDD0D8">
            <w:pPr>
              <w:widowControl/>
              <w:spacing w:line="400" w:lineRule="exact"/>
              <w:jc w:val="center"/>
              <w:rPr>
                <w:rFonts w:hint="default"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按实结算</w:t>
            </w:r>
          </w:p>
        </w:tc>
        <w:tc>
          <w:tcPr>
            <w:tcW w:w="1594" w:type="dxa"/>
            <w:noWrap w:val="0"/>
            <w:vAlign w:val="center"/>
          </w:tcPr>
          <w:p w14:paraId="2B02586D">
            <w:pPr>
              <w:widowControl/>
              <w:spacing w:line="400" w:lineRule="exact"/>
              <w:jc w:val="center"/>
              <w:rPr>
                <w:rFonts w:hint="eastAsia" w:ascii="Times New Roman" w:hAnsi="Times New Roman" w:cs="Times New Roman"/>
                <w:color w:val="000000"/>
                <w:sz w:val="24"/>
                <w:szCs w:val="24"/>
                <w:lang w:val="en-US" w:eastAsia="zh-CN"/>
              </w:rPr>
            </w:pPr>
            <w:r>
              <w:rPr>
                <w:rFonts w:hint="eastAsia" w:ascii="Times New Roman" w:hAnsi="Times New Roman" w:cs="Times New Roman"/>
                <w:color w:val="000000"/>
                <w:sz w:val="24"/>
                <w:szCs w:val="24"/>
                <w:lang w:val="en-US" w:eastAsia="zh-CN"/>
              </w:rPr>
              <w:t>1</w:t>
            </w:r>
          </w:p>
        </w:tc>
        <w:tc>
          <w:tcPr>
            <w:tcW w:w="1594" w:type="dxa"/>
            <w:vMerge w:val="continue"/>
            <w:noWrap w:val="0"/>
            <w:vAlign w:val="center"/>
          </w:tcPr>
          <w:p w14:paraId="0F1EFFED">
            <w:pPr>
              <w:widowControl/>
              <w:spacing w:line="400" w:lineRule="exact"/>
              <w:jc w:val="center"/>
              <w:rPr>
                <w:rFonts w:hint="eastAsia" w:ascii="宋体" w:hAnsi="宋体" w:cs="宋体"/>
                <w:color w:val="000000"/>
                <w:sz w:val="24"/>
                <w:szCs w:val="24"/>
              </w:rPr>
            </w:pPr>
          </w:p>
        </w:tc>
      </w:tr>
      <w:tr w14:paraId="5CE5A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87" w:type="dxa"/>
            <w:shd w:val="clear" w:color="auto" w:fill="auto"/>
            <w:noWrap w:val="0"/>
            <w:vAlign w:val="center"/>
          </w:tcPr>
          <w:p w14:paraId="0183ACFB">
            <w:pPr>
              <w:widowControl/>
              <w:spacing w:line="400" w:lineRule="exact"/>
              <w:jc w:val="center"/>
              <w:rPr>
                <w:rFonts w:hint="default" w:ascii="宋体" w:hAnsi="宋体" w:eastAsia="宋体" w:cs="宋体"/>
                <w:color w:val="auto"/>
                <w:sz w:val="24"/>
                <w:szCs w:val="24"/>
                <w:lang w:val="en-US" w:eastAsia="zh-CN"/>
              </w:rPr>
            </w:pPr>
            <w:r>
              <w:rPr>
                <w:rFonts w:hint="eastAsia" w:cs="Times New Roman"/>
                <w:color w:val="000000"/>
                <w:sz w:val="24"/>
                <w:szCs w:val="24"/>
                <w:lang w:val="en-US" w:eastAsia="zh-CN"/>
              </w:rPr>
              <w:t>包七</w:t>
            </w:r>
          </w:p>
        </w:tc>
        <w:tc>
          <w:tcPr>
            <w:tcW w:w="2456" w:type="dxa"/>
            <w:shd w:val="clear" w:color="auto" w:fill="auto"/>
            <w:noWrap w:val="0"/>
            <w:vAlign w:val="center"/>
          </w:tcPr>
          <w:p w14:paraId="59BEF9A2">
            <w:pPr>
              <w:widowControl/>
              <w:spacing w:line="400" w:lineRule="exact"/>
              <w:jc w:val="center"/>
              <w:rPr>
                <w:rFonts w:hint="eastAsia" w:ascii="宋体" w:hAnsi="宋体" w:cs="宋体"/>
                <w:color w:val="auto"/>
                <w:sz w:val="24"/>
                <w:szCs w:val="24"/>
              </w:rPr>
            </w:pPr>
            <w:r>
              <w:rPr>
                <w:rFonts w:hint="eastAsia" w:ascii="宋体" w:hAnsi="宋体" w:cs="宋体"/>
                <w:color w:val="auto"/>
                <w:sz w:val="24"/>
                <w:szCs w:val="24"/>
              </w:rPr>
              <w:t>ACT(激活全血凝固时间)检测仪配套试管</w:t>
            </w:r>
          </w:p>
        </w:tc>
        <w:tc>
          <w:tcPr>
            <w:tcW w:w="1327" w:type="dxa"/>
            <w:shd w:val="clear" w:color="auto" w:fill="auto"/>
            <w:noWrap w:val="0"/>
            <w:vAlign w:val="center"/>
          </w:tcPr>
          <w:p w14:paraId="42382750">
            <w:pPr>
              <w:widowControl/>
              <w:spacing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按实结算</w:t>
            </w:r>
          </w:p>
        </w:tc>
        <w:tc>
          <w:tcPr>
            <w:tcW w:w="1594" w:type="dxa"/>
            <w:shd w:val="clear" w:color="auto" w:fill="auto"/>
            <w:noWrap w:val="0"/>
            <w:vAlign w:val="center"/>
          </w:tcPr>
          <w:p w14:paraId="5DC27BED">
            <w:pPr>
              <w:widowControl/>
              <w:spacing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1</w:t>
            </w:r>
          </w:p>
        </w:tc>
        <w:tc>
          <w:tcPr>
            <w:tcW w:w="1594" w:type="dxa"/>
            <w:vMerge w:val="continue"/>
            <w:shd w:val="clear" w:color="auto" w:fill="auto"/>
            <w:noWrap w:val="0"/>
            <w:vAlign w:val="center"/>
          </w:tcPr>
          <w:p w14:paraId="7A4D370E">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r>
    </w:tbl>
    <w:p w14:paraId="679CA4F1">
      <w:pPr>
        <w:widowControl/>
        <w:spacing w:before="120" w:beforeLines="50"/>
        <w:ind w:firstLine="480" w:firstLineChars="200"/>
        <w:rPr>
          <w:rFonts w:hint="default" w:ascii="宋体" w:hAnsi="宋体" w:cs="宋体"/>
          <w:color w:val="auto"/>
          <w:sz w:val="24"/>
          <w:szCs w:val="24"/>
          <w:lang w:val="en-US" w:eastAsia="zh-CN"/>
        </w:rPr>
      </w:pPr>
      <w:r>
        <w:rPr>
          <w:rFonts w:hint="eastAsia" w:ascii="宋体" w:hAnsi="宋体" w:cs="宋体"/>
          <w:color w:val="auto"/>
          <w:sz w:val="24"/>
          <w:szCs w:val="24"/>
        </w:rPr>
        <w:t>注：1.</w:t>
      </w:r>
      <w:r>
        <w:rPr>
          <w:rFonts w:hint="eastAsia" w:ascii="宋体" w:hAnsi="宋体" w:cs="宋体"/>
          <w:color w:val="auto"/>
          <w:sz w:val="24"/>
          <w:szCs w:val="24"/>
          <w:lang w:eastAsia="zh-CN"/>
        </w:rPr>
        <w:t>该项目支持按照</w:t>
      </w:r>
      <w:r>
        <w:rPr>
          <w:rFonts w:hint="eastAsia" w:ascii="宋体" w:hAnsi="宋体" w:cs="宋体"/>
          <w:color w:val="auto"/>
          <w:sz w:val="24"/>
          <w:szCs w:val="24"/>
          <w:lang w:val="en-US" w:eastAsia="zh-CN"/>
        </w:rPr>
        <w:t>以上</w:t>
      </w:r>
      <w:r>
        <w:rPr>
          <w:rFonts w:hint="eastAsia" w:ascii="宋体" w:hAnsi="宋体" w:cs="宋体"/>
          <w:color w:val="auto"/>
          <w:sz w:val="24"/>
          <w:szCs w:val="24"/>
          <w:lang w:eastAsia="zh-CN"/>
        </w:rPr>
        <w:t>分包分别报名。</w:t>
      </w:r>
    </w:p>
    <w:p w14:paraId="24074AD8">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采购项目的技术参数详见采购文件第二部分。</w:t>
      </w:r>
    </w:p>
    <w:p w14:paraId="506277B7">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3</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三年</w:t>
      </w:r>
    </w:p>
    <w:p w14:paraId="7159E0B3">
      <w:pPr>
        <w:pStyle w:val="2"/>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.本项目是/否接受联合竞选：否</w:t>
      </w:r>
    </w:p>
    <w:p w14:paraId="4D187D79">
      <w:pPr>
        <w:pStyle w:val="2"/>
        <w:ind w:firstLine="480" w:firstLineChars="200"/>
        <w:rPr>
          <w:rFonts w:hint="default" w:ascii="宋体" w:hAnsi="宋体" w:eastAsia="宋体" w:cs="宋体"/>
          <w:color w:val="auto"/>
          <w:sz w:val="24"/>
          <w:szCs w:val="24"/>
          <w:lang w:val="en-US" w:eastAsia="zh-CN"/>
        </w:rPr>
      </w:pPr>
      <w:bookmarkStart w:id="189" w:name="_GoBack"/>
      <w:r>
        <w:rPr>
          <w:rFonts w:hint="eastAsia" w:ascii="宋体" w:hAnsi="宋体" w:eastAsia="宋体" w:cs="宋体"/>
          <w:color w:val="auto"/>
          <w:sz w:val="24"/>
          <w:szCs w:val="24"/>
          <w:lang w:val="en-US" w:eastAsia="zh-CN"/>
        </w:rPr>
        <w:t>5.本项目包三至包五及包七为院内产品重招</w:t>
      </w:r>
      <w:bookmarkEnd w:id="189"/>
      <w:r>
        <w:rPr>
          <w:rFonts w:hint="eastAsia" w:ascii="宋体" w:hAnsi="宋体" w:eastAsia="宋体" w:cs="宋体"/>
          <w:color w:val="auto"/>
          <w:sz w:val="24"/>
          <w:szCs w:val="24"/>
          <w:lang w:val="en-US" w:eastAsia="zh-CN"/>
        </w:rPr>
        <w:t>。</w:t>
      </w:r>
    </w:p>
    <w:p w14:paraId="0A4C3E50">
      <w:pPr>
        <w:pStyle w:val="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6.本项目仅支持采购</w:t>
      </w:r>
      <w:r>
        <w:rPr>
          <w:rFonts w:hint="eastAsia" w:ascii="宋体" w:hAnsi="宋体" w:eastAsia="宋体" w:cs="宋体"/>
          <w:i w:val="0"/>
          <w:color w:val="auto"/>
          <w:kern w:val="2"/>
          <w:sz w:val="24"/>
          <w:szCs w:val="24"/>
          <w:lang w:val="en-US" w:eastAsia="zh-CN" w:bidi="ar-SA"/>
        </w:rPr>
        <w:t>重庆药品和医用耗材招采管理系统挂网产品。</w:t>
      </w:r>
    </w:p>
    <w:bookmarkEnd w:id="14"/>
    <w:bookmarkEnd w:id="15"/>
    <w:bookmarkEnd w:id="16"/>
    <w:bookmarkEnd w:id="17"/>
    <w:bookmarkEnd w:id="18"/>
    <w:p w14:paraId="67FFECAF">
      <w:pPr>
        <w:pStyle w:val="2"/>
        <w:rPr>
          <w:rFonts w:hint="eastAsia"/>
          <w:color w:val="auto"/>
        </w:rPr>
      </w:pPr>
      <w:bookmarkStart w:id="19" w:name="_Toc25496"/>
      <w:bookmarkStart w:id="20" w:name="_Toc30358"/>
      <w:bookmarkStart w:id="21" w:name="_Toc3434"/>
      <w:bookmarkStart w:id="22" w:name="_Toc76373866"/>
      <w:bookmarkStart w:id="23" w:name="_Toc10137"/>
      <w:bookmarkStart w:id="24" w:name="_Toc26504"/>
    </w:p>
    <w:p w14:paraId="097A23D8">
      <w:pPr>
        <w:widowControl/>
        <w:spacing w:line="400" w:lineRule="exact"/>
        <w:outlineLvl w:val="1"/>
        <w:rPr>
          <w:rFonts w:hint="eastAsia" w:ascii="宋体" w:hAnsi="宋体" w:cs="宋体"/>
          <w:b/>
          <w:color w:val="auto"/>
          <w:sz w:val="24"/>
        </w:rPr>
      </w:pPr>
      <w:bookmarkStart w:id="25" w:name="_Toc3249"/>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19"/>
      <w:bookmarkEnd w:id="20"/>
      <w:bookmarkEnd w:id="21"/>
      <w:bookmarkEnd w:id="22"/>
      <w:bookmarkEnd w:id="23"/>
      <w:bookmarkEnd w:id="24"/>
      <w:bookmarkEnd w:id="25"/>
    </w:p>
    <w:p w14:paraId="331C98B3">
      <w:pPr>
        <w:widowControl/>
        <w:spacing w:line="400" w:lineRule="exact"/>
        <w:ind w:firstLine="480" w:firstLineChars="200"/>
        <w:rPr>
          <w:rFonts w:hint="eastAsia" w:ascii="宋体" w:hAnsi="宋体" w:cs="宋体"/>
          <w:bCs/>
          <w:color w:val="auto"/>
          <w:sz w:val="24"/>
          <w:szCs w:val="24"/>
        </w:rPr>
      </w:pPr>
      <w:bookmarkStart w:id="26" w:name="_Toc7527"/>
      <w:bookmarkStart w:id="27" w:name="_Toc654"/>
      <w:bookmarkStart w:id="28" w:name="_Toc28099"/>
      <w:bookmarkStart w:id="29" w:name="_Toc18799"/>
      <w:r>
        <w:rPr>
          <w:rFonts w:hint="eastAsia" w:ascii="宋体" w:hAnsi="宋体" w:cs="宋体"/>
          <w:bCs/>
          <w:color w:val="auto"/>
          <w:sz w:val="24"/>
          <w:lang w:val="en-US" w:eastAsia="zh-CN"/>
        </w:rPr>
        <w:t>竞选</w:t>
      </w:r>
      <w:r>
        <w:rPr>
          <w:rFonts w:hint="eastAsia" w:ascii="宋体" w:hAnsi="宋体" w:cs="宋体"/>
          <w:bCs/>
          <w:color w:val="auto"/>
          <w:sz w:val="24"/>
        </w:rPr>
        <w:t>人</w:t>
      </w:r>
      <w:r>
        <w:rPr>
          <w:rFonts w:hint="eastAsia" w:ascii="宋体" w:hAnsi="宋体" w:cs="宋体"/>
          <w:bCs/>
          <w:color w:val="auto"/>
          <w:sz w:val="24"/>
          <w:szCs w:val="24"/>
        </w:rPr>
        <w:t>应首先符合政府采购法第二十二条规定的基本资格条件，同时符合根据该项目特殊要求设置的特定资格条件。</w:t>
      </w:r>
    </w:p>
    <w:p w14:paraId="6782408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1.基本资格条件</w:t>
      </w:r>
    </w:p>
    <w:p w14:paraId="5C7177D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（1）具有独立承担民事责任的能力</w:t>
      </w:r>
    </w:p>
    <w:p w14:paraId="53EE9ED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（2）具有良好的商业信誉和健全的财务会计制度；</w:t>
      </w:r>
    </w:p>
    <w:p w14:paraId="79E7BD2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（3）具有履行合同所必需的设备和专业技术能力；</w:t>
      </w:r>
    </w:p>
    <w:p w14:paraId="70F8FB7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（4）有依法缴纳税收和社会保障资金的良好记录；</w:t>
      </w:r>
    </w:p>
    <w:p w14:paraId="6322849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6）提供</w:t>
      </w:r>
      <w:r>
        <w:rPr>
          <w:rFonts w:hint="eastAsia" w:ascii="宋体" w:hAnsi="宋体" w:cs="宋体"/>
          <w:color w:val="auto"/>
          <w:sz w:val="24"/>
          <w:szCs w:val="24"/>
        </w:rPr>
        <w:t>《医药价格和招采信用评级等级承诺书》</w:t>
      </w:r>
      <w:r>
        <w:rPr>
          <w:rFonts w:hint="eastAsia" w:ascii="宋体" w:hAnsi="宋体" w:cs="宋体"/>
          <w:color w:val="auto"/>
          <w:sz w:val="24"/>
          <w:szCs w:val="24"/>
          <w:lang w:eastAsia="zh-CN"/>
        </w:rPr>
        <w:t>，</w:t>
      </w:r>
      <w:r>
        <w:rPr>
          <w:rFonts w:hint="eastAsia" w:ascii="宋体" w:hAnsi="宋体" w:cs="宋体"/>
          <w:color w:val="auto"/>
          <w:sz w:val="24"/>
          <w:szCs w:val="24"/>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w:t>
      </w:r>
      <w:r>
        <w:rPr>
          <w:rFonts w:hint="eastAsia" w:ascii="宋体" w:hAnsi="宋体" w:cs="宋体"/>
          <w:color w:val="auto"/>
          <w:sz w:val="24"/>
          <w:szCs w:val="24"/>
          <w:lang w:val="en-US" w:eastAsia="zh-CN"/>
        </w:rPr>
        <w:t>7</w:t>
      </w:r>
      <w:r>
        <w:rPr>
          <w:rFonts w:hint="eastAsia" w:ascii="宋体" w:hAnsi="宋体" w:cs="宋体"/>
          <w:color w:val="auto"/>
          <w:sz w:val="24"/>
          <w:szCs w:val="24"/>
        </w:rPr>
        <w:t>）法律、行政法规规定的其他条件</w:t>
      </w:r>
      <w:r>
        <w:rPr>
          <w:rFonts w:hint="eastAsia" w:ascii="宋体" w:hAnsi="宋体" w:cs="宋体"/>
          <w:color w:val="auto"/>
          <w:sz w:val="24"/>
          <w:szCs w:val="24"/>
          <w:lang w:eastAsia="zh-CN"/>
        </w:rPr>
        <w:t>。</w:t>
      </w:r>
    </w:p>
    <w:p w14:paraId="0F8C2C3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2.特定资格条件</w:t>
      </w:r>
    </w:p>
    <w:p w14:paraId="17A9A064">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bCs/>
          <w:color w:val="auto"/>
          <w:sz w:val="24"/>
        </w:rPr>
        <w:t>竞选</w:t>
      </w:r>
      <w:r>
        <w:rPr>
          <w:rFonts w:hint="eastAsia" w:ascii="宋体" w:hAnsi="宋体" w:cs="宋体"/>
          <w:color w:val="auto"/>
          <w:sz w:val="24"/>
          <w:szCs w:val="24"/>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766C61C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（3）生产企业的医疗器械生产企业许可证（复印件，加盖公章）；</w:t>
      </w:r>
    </w:p>
    <w:p w14:paraId="17F3E552">
      <w:pPr>
        <w:keepNext/>
        <w:overflowPunct w:val="0"/>
        <w:spacing w:line="400" w:lineRule="exact"/>
        <w:ind w:firstLine="480" w:firstLineChars="200"/>
        <w:rPr>
          <w:rFonts w:hint="eastAsia" w:ascii="宋体" w:hAnsi="宋体" w:cs="宋体"/>
          <w:color w:val="auto"/>
          <w:sz w:val="24"/>
          <w:szCs w:val="24"/>
          <w:lang w:eastAsia="zh-CN"/>
        </w:rPr>
      </w:pPr>
      <w:r>
        <w:rPr>
          <w:rFonts w:hint="eastAsia" w:ascii="宋体" w:hAnsi="宋体" w:cs="宋体"/>
          <w:color w:val="auto"/>
          <w:sz w:val="24"/>
          <w:szCs w:val="24"/>
        </w:rPr>
        <w:t>（4）</w:t>
      </w:r>
      <w:r>
        <w:rPr>
          <w:rFonts w:hint="eastAsia" w:ascii="宋体" w:hAnsi="宋体" w:cs="宋体"/>
          <w:bCs/>
          <w:color w:val="auto"/>
          <w:sz w:val="24"/>
        </w:rPr>
        <w:t>竞选</w:t>
      </w:r>
      <w:r>
        <w:rPr>
          <w:rFonts w:hint="eastAsia" w:ascii="宋体" w:hAnsi="宋体" w:cs="宋体"/>
          <w:color w:val="auto"/>
          <w:sz w:val="24"/>
          <w:szCs w:val="24"/>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（5）竞选单位法定代表人签发的授权委托书（须明确授权范围）及身份证明（加盖公章的复印件）。</w:t>
      </w:r>
    </w:p>
    <w:p w14:paraId="21F12D51">
      <w:pPr>
        <w:pStyle w:val="2"/>
        <w:rPr>
          <w:rFonts w:hint="eastAsia"/>
          <w:lang w:eastAsia="zh-CN"/>
        </w:rPr>
      </w:pPr>
    </w:p>
    <w:p w14:paraId="089F10E3">
      <w:pPr>
        <w:keepNext/>
        <w:overflowPunct w:val="0"/>
        <w:spacing w:line="400" w:lineRule="exact"/>
        <w:outlineLvl w:val="1"/>
        <w:rPr>
          <w:rFonts w:ascii="宋体" w:hAnsi="宋体" w:cs="宋体"/>
          <w:b/>
          <w:color w:val="auto"/>
          <w:sz w:val="24"/>
        </w:rPr>
      </w:pPr>
      <w:bookmarkStart w:id="30" w:name="_Toc2529"/>
      <w:bookmarkStart w:id="31" w:name="_Toc7015"/>
      <w:r>
        <w:rPr>
          <w:rFonts w:hint="eastAsia" w:ascii="宋体" w:hAnsi="宋体" w:cs="宋体"/>
          <w:b/>
          <w:color w:val="auto"/>
          <w:sz w:val="24"/>
        </w:rPr>
        <w:t>三、竞选有关规定</w:t>
      </w:r>
      <w:bookmarkEnd w:id="30"/>
      <w:r>
        <w:rPr>
          <w:rFonts w:hint="eastAsia" w:ascii="宋体" w:hAnsi="宋体" w:cs="宋体"/>
          <w:b/>
          <w:color w:val="auto"/>
          <w:sz w:val="24"/>
        </w:rPr>
        <w:t>及说明</w:t>
      </w:r>
      <w:bookmarkEnd w:id="31"/>
    </w:p>
    <w:p w14:paraId="52121A7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103B395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3EA75BA2">
      <w:pPr>
        <w:keepNext/>
        <w:overflowPunct w:val="0"/>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3、同一合同项（分包）下为单一品目的货物采购中，同一品牌同一型号产品有多家供应商参加竞选，只能按照一家竞选人计算。</w:t>
      </w:r>
      <w:r>
        <w:rPr>
          <w:rFonts w:hint="eastAsia" w:ascii="宋体" w:hAnsi="宋体" w:cs="宋体"/>
          <w:color w:val="auto"/>
          <w:sz w:val="24"/>
          <w:szCs w:val="24"/>
          <w:lang w:val="en-US" w:eastAsia="zh-CN"/>
        </w:rPr>
        <w:t>同一合同项</w:t>
      </w:r>
      <w:r>
        <w:rPr>
          <w:rFonts w:hint="eastAsia" w:ascii="宋体" w:hAnsi="宋体" w:cs="宋体"/>
          <w:color w:val="auto"/>
          <w:sz w:val="24"/>
          <w:szCs w:val="24"/>
        </w:rPr>
        <w:t>（分包）</w:t>
      </w:r>
      <w:r>
        <w:rPr>
          <w:rFonts w:hint="eastAsia" w:ascii="宋体" w:hAnsi="宋体" w:cs="宋体"/>
          <w:color w:val="auto"/>
          <w:sz w:val="24"/>
          <w:szCs w:val="24"/>
          <w:lang w:val="en-US" w:eastAsia="zh-CN"/>
        </w:rPr>
        <w:t>具体项目</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供应商只能报一个品牌。</w:t>
      </w:r>
    </w:p>
    <w:p w14:paraId="6DF4D99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4、同一合同项（分包）下的货物，制造商参与竞选的，不得再委托代理商参与竞选。</w:t>
      </w:r>
    </w:p>
    <w:p w14:paraId="7297953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5、竞选货物必须符合国家标准、行业标准和专业标准等相关标准。</w:t>
      </w:r>
    </w:p>
    <w:p w14:paraId="3309C13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051E3A97">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565617D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5958B58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53AE799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13415850">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51FAFCDB">
      <w:pPr>
        <w:widowControl/>
        <w:spacing w:line="400" w:lineRule="exact"/>
        <w:outlineLvl w:val="1"/>
        <w:rPr>
          <w:rFonts w:hint="eastAsia" w:ascii="宋体" w:hAnsi="宋体" w:cs="宋体"/>
          <w:b/>
          <w:bCs/>
          <w:color w:val="auto"/>
          <w:sz w:val="24"/>
          <w:szCs w:val="24"/>
        </w:rPr>
      </w:pPr>
      <w:bookmarkStart w:id="32" w:name="_Toc17341"/>
      <w:bookmarkStart w:id="33" w:name="_Toc6749"/>
      <w:r>
        <w:rPr>
          <w:rFonts w:hint="eastAsia" w:ascii="宋体" w:hAnsi="宋体" w:cs="宋体"/>
          <w:b/>
          <w:bCs/>
          <w:color w:val="auto"/>
          <w:sz w:val="24"/>
          <w:szCs w:val="24"/>
        </w:rPr>
        <w:t>四、报名时间、地点、方式</w:t>
      </w:r>
      <w:bookmarkEnd w:id="32"/>
      <w:bookmarkEnd w:id="33"/>
    </w:p>
    <w:p w14:paraId="635D7F96">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4"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见公告</w:t>
      </w:r>
    </w:p>
    <w:p w14:paraId="342E654B">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5" w:name="OLE_LINK1"/>
      <w:r>
        <w:rPr>
          <w:rFonts w:hint="default" w:ascii="Times New Roman" w:hAnsi="Times New Roman" w:cs="Times New Roman"/>
          <w:b w:val="0"/>
          <w:bCs/>
          <w:color w:val="auto"/>
          <w:kern w:val="0"/>
          <w:sz w:val="24"/>
          <w:szCs w:val="24"/>
          <w:u w:val="single"/>
        </w:rPr>
        <w:t>3474005023@qq.com</w:t>
      </w:r>
      <w:bookmarkEnd w:id="35"/>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心血管内科</w:t>
      </w:r>
      <w:r>
        <w:rPr>
          <w:rFonts w:hint="eastAsia" w:ascii="宋体" w:hAnsi="宋体" w:eastAsia="宋体" w:cs="宋体"/>
          <w:color w:val="auto"/>
          <w:sz w:val="24"/>
          <w:szCs w:val="24"/>
          <w:lang w:val="en-US" w:eastAsia="zh-CN"/>
        </w:rPr>
        <w:t>包X</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心血管内科</w:t>
      </w:r>
      <w:r>
        <w:rPr>
          <w:rFonts w:hint="eastAsia" w:ascii="Times New Roman" w:hAnsi="Times New Roman" w:cs="Times New Roman"/>
          <w:b w:val="0"/>
          <w:bCs w:val="0"/>
          <w:color w:val="auto"/>
          <w:kern w:val="0"/>
          <w:sz w:val="24"/>
          <w:szCs w:val="24"/>
          <w:lang w:val="en-US" w:eastAsia="zh-CN"/>
        </w:rPr>
        <w:t>包X</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3407CEDF">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6" w:name="OLE_LINK2"/>
      <w:r>
        <w:rPr>
          <w:rFonts w:hint="default" w:ascii="Times New Roman" w:hAnsi="Times New Roman" w:cs="Times New Roman"/>
          <w:b w:val="0"/>
          <w:bCs/>
          <w:color w:val="auto"/>
          <w:kern w:val="0"/>
          <w:sz w:val="24"/>
          <w:szCs w:val="24"/>
          <w:lang w:val="en-US" w:eastAsia="zh-CN"/>
        </w:rPr>
        <w:t>PDF文档</w:t>
      </w:r>
      <w:bookmarkEnd w:id="36"/>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default" w:ascii="Times New Roman" w:hAnsi="Times New Roman" w:eastAsia="宋体" w:cs="Times New Roman"/>
          <w:b w:val="0"/>
          <w:bCs/>
          <w:color w:val="auto"/>
          <w:kern w:val="0"/>
          <w:sz w:val="24"/>
          <w:szCs w:val="24"/>
          <w:u w:val="single"/>
          <w:lang w:val="en-US" w:eastAsia="zh-CN"/>
        </w:rPr>
        <w:t>“</w:t>
      </w:r>
      <w:r>
        <w:rPr>
          <w:rFonts w:hint="eastAsia" w:ascii="宋体" w:hAnsi="宋体" w:cs="宋体"/>
          <w:color w:val="auto"/>
          <w:sz w:val="24"/>
          <w:szCs w:val="24"/>
          <w:u w:val="single"/>
          <w:lang w:val="en-US" w:eastAsia="zh-CN"/>
        </w:rPr>
        <w:t>心血管内科</w:t>
      </w:r>
      <w:r>
        <w:rPr>
          <w:rFonts w:hint="eastAsia" w:ascii="Times New Roman" w:hAnsi="Times New Roman" w:eastAsia="宋体" w:cs="Times New Roman"/>
          <w:b w:val="0"/>
          <w:bCs/>
          <w:color w:val="auto"/>
          <w:kern w:val="0"/>
          <w:sz w:val="24"/>
          <w:szCs w:val="24"/>
          <w:u w:val="single"/>
          <w:lang w:val="en-US" w:eastAsia="zh-CN"/>
        </w:rPr>
        <w:t>包X</w:t>
      </w:r>
      <w:r>
        <w:rPr>
          <w:rFonts w:hint="default" w:ascii="Times New Roman" w:hAnsi="Times New Roman" w:eastAsia="宋体"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727D214D">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宋体" w:hAnsi="宋体" w:cs="宋体"/>
          <w:color w:val="auto"/>
          <w:sz w:val="24"/>
          <w:szCs w:val="24"/>
          <w:u w:val="single"/>
          <w:lang w:val="en-US" w:eastAsia="zh-CN"/>
        </w:rPr>
        <w:t>心血管内科</w:t>
      </w:r>
      <w:r>
        <w:rPr>
          <w:rFonts w:hint="eastAsia" w:ascii="Times New Roman" w:hAnsi="Times New Roman" w:eastAsia="宋体" w:cs="Times New Roman"/>
          <w:color w:val="auto"/>
          <w:sz w:val="24"/>
          <w:szCs w:val="24"/>
          <w:u w:val="single"/>
          <w:lang w:val="en-US" w:eastAsia="zh-CN"/>
        </w:rPr>
        <w:t>包X</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050D9F2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7B255E5D">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3723212B">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制作竞选文件时，</w:t>
      </w:r>
      <w:bookmarkStart w:id="37" w:name="OLE_LINK7"/>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bookmarkStart w:id="38" w:name="OLE_LINK4"/>
      <w:r>
        <w:rPr>
          <w:rFonts w:hint="default" w:ascii="宋体" w:hAnsi="宋体" w:eastAsia="宋体" w:cs="宋体"/>
          <w:color w:val="auto"/>
          <w:sz w:val="24"/>
          <w:szCs w:val="24"/>
        </w:rPr>
        <w:t>与报名时提交的“耗材报名表”的中载明的产品信息（含产品注册证名称、规格型号、顺序等）保持一致</w:t>
      </w:r>
      <w:bookmarkEnd w:id="38"/>
      <w:r>
        <w:rPr>
          <w:rFonts w:hint="eastAsia" w:ascii="宋体" w:hAnsi="宋体" w:eastAsia="宋体" w:cs="宋体"/>
          <w:color w:val="auto"/>
          <w:sz w:val="24"/>
          <w:szCs w:val="24"/>
          <w:lang w:eastAsia="zh-CN"/>
        </w:rPr>
        <w:t>。</w:t>
      </w:r>
      <w:bookmarkEnd w:id="37"/>
      <w:r>
        <w:rPr>
          <w:rFonts w:hint="default" w:ascii="宋体" w:hAnsi="宋体" w:eastAsia="宋体" w:cs="宋体"/>
          <w:color w:val="auto"/>
          <w:sz w:val="24"/>
          <w:szCs w:val="24"/>
        </w:rPr>
        <w:t>“耗材报名表”填写时不得改变文档格式，所有标红项为必填项，若没有相关情况则写“无”</w:t>
      </w:r>
      <w:r>
        <w:rPr>
          <w:rFonts w:hint="eastAsia" w:ascii="宋体" w:hAnsi="宋体" w:eastAsia="宋体" w:cs="宋体"/>
          <w:color w:val="auto"/>
          <w:sz w:val="24"/>
          <w:szCs w:val="24"/>
          <w:lang w:eastAsia="zh-CN"/>
        </w:rPr>
        <w:t>。</w:t>
      </w:r>
    </w:p>
    <w:p w14:paraId="57EF236F">
      <w:pPr>
        <w:widowControl/>
        <w:spacing w:line="400" w:lineRule="exact"/>
        <w:outlineLvl w:val="1"/>
        <w:rPr>
          <w:rFonts w:hint="eastAsia" w:ascii="宋体" w:hAnsi="宋体" w:cs="宋体"/>
          <w:b/>
          <w:color w:val="auto"/>
          <w:sz w:val="24"/>
        </w:rPr>
      </w:pPr>
      <w:bookmarkStart w:id="39" w:name="_Toc768"/>
      <w:bookmarkStart w:id="40" w:name="_Toc18950"/>
      <w:r>
        <w:rPr>
          <w:rFonts w:hint="eastAsia" w:ascii="宋体" w:hAnsi="宋体" w:cs="宋体"/>
          <w:b/>
          <w:color w:val="auto"/>
          <w:sz w:val="24"/>
        </w:rPr>
        <w:t>五、竞选文件递交与采购谈判时间、地点</w:t>
      </w:r>
      <w:bookmarkEnd w:id="39"/>
      <w:bookmarkEnd w:id="40"/>
    </w:p>
    <w:p w14:paraId="566108A1">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090FE850">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 xml:space="preserve">2.采购谈判时间： </w:t>
      </w:r>
      <w:r>
        <w:rPr>
          <w:rFonts w:hint="eastAsia" w:ascii="宋体" w:hAnsi="宋体" w:eastAsia="宋体" w:cs="宋体"/>
          <w:color w:val="auto"/>
          <w:szCs w:val="24"/>
          <w:shd w:val="clear" w:color="auto" w:fill="FFFFFF"/>
        </w:rPr>
        <w:t>另行邮箱通知</w:t>
      </w:r>
    </w:p>
    <w:p w14:paraId="1F638B15">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675A33B7">
      <w:pPr>
        <w:widowControl/>
        <w:spacing w:line="400" w:lineRule="exact"/>
        <w:outlineLvl w:val="1"/>
        <w:rPr>
          <w:rFonts w:hint="eastAsia" w:ascii="宋体" w:hAnsi="宋体" w:cs="宋体"/>
          <w:b/>
          <w:color w:val="auto"/>
          <w:sz w:val="24"/>
        </w:rPr>
      </w:pPr>
      <w:bookmarkStart w:id="41" w:name="_Toc829"/>
      <w:r>
        <w:rPr>
          <w:rFonts w:hint="eastAsia" w:ascii="宋体" w:hAnsi="宋体" w:cs="宋体"/>
          <w:b/>
          <w:color w:val="auto"/>
          <w:sz w:val="24"/>
        </w:rPr>
        <w:t>六、联系方式</w:t>
      </w:r>
      <w:bookmarkEnd w:id="34"/>
      <w:bookmarkEnd w:id="41"/>
    </w:p>
    <w:p w14:paraId="6B3922FE">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刘</w:t>
      </w:r>
      <w:r>
        <w:rPr>
          <w:rFonts w:hint="eastAsia" w:ascii="宋体" w:hAnsi="宋体" w:eastAsia="宋体" w:cs="宋体"/>
          <w:color w:val="auto"/>
          <w:szCs w:val="24"/>
        </w:rPr>
        <w:t>老师</w:t>
      </w:r>
    </w:p>
    <w:p w14:paraId="3FFDA863">
      <w:pPr>
        <w:widowControl/>
        <w:spacing w:line="400" w:lineRule="exact"/>
        <w:ind w:firstLine="480" w:firstLineChars="200"/>
        <w:rPr>
          <w:rFonts w:hint="default" w:ascii="宋体" w:hAnsi="宋体" w:eastAsia="宋体" w:cs="宋体"/>
          <w:color w:val="auto"/>
          <w:sz w:val="24"/>
          <w:szCs w:val="24"/>
          <w:lang w:val="en-US" w:eastAsia="zh-CN"/>
        </w:rPr>
      </w:pPr>
      <w:bookmarkStart w:id="42" w:name="_Toc869"/>
      <w:r>
        <w:rPr>
          <w:rFonts w:hint="eastAsia" w:ascii="宋体" w:hAnsi="宋体" w:cs="宋体"/>
          <w:color w:val="auto"/>
          <w:sz w:val="24"/>
          <w:szCs w:val="24"/>
        </w:rPr>
        <w:t>项目联系人电话：</w:t>
      </w:r>
      <w:bookmarkEnd w:id="42"/>
      <w:r>
        <w:rPr>
          <w:rFonts w:hint="eastAsia" w:ascii="宋体" w:hAnsi="宋体" w:cs="宋体"/>
          <w:color w:val="auto"/>
          <w:sz w:val="24"/>
          <w:szCs w:val="24"/>
          <w:lang w:val="en-US" w:eastAsia="zh-CN"/>
        </w:rPr>
        <w:t>023-63693920</w:t>
      </w:r>
    </w:p>
    <w:bookmarkEnd w:id="26"/>
    <w:bookmarkEnd w:id="27"/>
    <w:bookmarkEnd w:id="28"/>
    <w:bookmarkEnd w:id="29"/>
    <w:p w14:paraId="1BA66B48">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43" w:name="_Toc9714"/>
      <w:bookmarkStart w:id="44" w:name="_Toc25272"/>
      <w:bookmarkStart w:id="45" w:name="_Toc76373872"/>
      <w:bookmarkStart w:id="46" w:name="_Toc4033"/>
      <w:bookmarkStart w:id="47" w:name="_Toc14224"/>
      <w:bookmarkStart w:id="48" w:name="_Toc21905"/>
      <w:bookmarkStart w:id="49" w:name="_Toc20138"/>
      <w:r>
        <w:rPr>
          <w:rFonts w:hint="eastAsia" w:ascii="宋体" w:hAnsi="宋体" w:cs="宋体"/>
          <w:b/>
          <w:color w:val="auto"/>
          <w:szCs w:val="36"/>
        </w:rPr>
        <w:t xml:space="preserve">第二篇 </w:t>
      </w:r>
      <w:bookmarkEnd w:id="43"/>
      <w:bookmarkEnd w:id="44"/>
      <w:bookmarkEnd w:id="45"/>
      <w:bookmarkEnd w:id="46"/>
      <w:bookmarkEnd w:id="47"/>
      <w:r>
        <w:rPr>
          <w:rFonts w:hint="eastAsia" w:ascii="宋体" w:hAnsi="宋体" w:cs="宋体"/>
          <w:b/>
          <w:color w:val="auto"/>
          <w:szCs w:val="36"/>
        </w:rPr>
        <w:t>技术（质量）与商务需求</w:t>
      </w:r>
      <w:bookmarkEnd w:id="48"/>
      <w:bookmarkEnd w:id="49"/>
    </w:p>
    <w:p w14:paraId="484620D8">
      <w:pPr>
        <w:widowControl/>
        <w:spacing w:before="120" w:beforeLines="50" w:line="360" w:lineRule="exact"/>
        <w:outlineLvl w:val="1"/>
        <w:rPr>
          <w:rFonts w:hint="eastAsia" w:cs="宋体"/>
          <w:b/>
          <w:color w:val="auto"/>
          <w:sz w:val="24"/>
        </w:rPr>
      </w:pPr>
      <w:bookmarkStart w:id="50" w:name="_Toc32286"/>
      <w:r>
        <w:rPr>
          <w:rFonts w:hint="eastAsia" w:cs="宋体"/>
          <w:b/>
          <w:color w:val="auto"/>
          <w:sz w:val="24"/>
        </w:rPr>
        <w:t>一、</w:t>
      </w:r>
      <w:bookmarkStart w:id="51" w:name="_Toc3153"/>
      <w:bookmarkStart w:id="52" w:name="_Toc76373874"/>
      <w:bookmarkStart w:id="53" w:name="_Toc2599"/>
      <w:bookmarkStart w:id="54" w:name="_Toc11474"/>
      <w:bookmarkStart w:id="55" w:name="_Toc13391"/>
      <w:bookmarkStart w:id="56" w:name="_Toc27187"/>
      <w:bookmarkStart w:id="57" w:name="_Toc25148"/>
      <w:r>
        <w:rPr>
          <w:rFonts w:hint="eastAsia" w:cs="宋体"/>
          <w:b/>
          <w:color w:val="auto"/>
          <w:sz w:val="24"/>
        </w:rPr>
        <w:t>技术需求</w:t>
      </w:r>
      <w:bookmarkEnd w:id="51"/>
      <w:bookmarkEnd w:id="52"/>
      <w:bookmarkEnd w:id="53"/>
      <w:bookmarkEnd w:id="54"/>
      <w:bookmarkEnd w:id="55"/>
      <w:r>
        <w:rPr>
          <w:rFonts w:hint="eastAsia" w:cs="宋体"/>
          <w:b/>
          <w:color w:val="auto"/>
          <w:sz w:val="24"/>
        </w:rPr>
        <w:t>（含技术参数）</w:t>
      </w:r>
      <w:bookmarkEnd w:id="50"/>
      <w:bookmarkEnd w:id="56"/>
      <w:bookmarkEnd w:id="57"/>
    </w:p>
    <w:p w14:paraId="1F7F32A0">
      <w:pPr>
        <w:spacing w:line="320" w:lineRule="exact"/>
        <w:ind w:left="479" w:leftChars="85" w:hanging="241" w:hangingChars="100"/>
        <w:jc w:val="left"/>
        <w:rPr>
          <w:rFonts w:hint="default" w:ascii="宋体" w:hAnsi="宋体" w:eastAsia="宋体" w:cs="宋体"/>
          <w:b/>
          <w:bCs/>
          <w:color w:val="auto"/>
          <w:sz w:val="24"/>
          <w:szCs w:val="24"/>
          <w:lang w:val="en-US" w:eastAsia="zh-CN"/>
        </w:rPr>
      </w:pPr>
      <w:bookmarkStart w:id="58" w:name="_Toc29225"/>
      <w:bookmarkStart w:id="59" w:name="_Toc6355"/>
      <w:bookmarkStart w:id="60" w:name="_Toc30465"/>
      <w:bookmarkStart w:id="61" w:name="_Toc29620"/>
      <w:bookmarkStart w:id="62" w:name="_Toc76373876"/>
      <w:bookmarkStart w:id="63" w:name="_Toc1955"/>
      <w:bookmarkStart w:id="64" w:name="_Toc13107"/>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1</w:t>
      </w:r>
    </w:p>
    <w:p w14:paraId="0BD36F58">
      <w:pPr>
        <w:spacing w:line="320" w:lineRule="exact"/>
        <w:ind w:left="478" w:leftChars="85" w:hanging="240" w:hangingChars="100"/>
        <w:jc w:val="left"/>
        <w:rPr>
          <w:rFonts w:hint="eastAsia" w:ascii="宋体" w:hAnsi="宋体" w:eastAsia="宋体" w:cs="宋体"/>
          <w:color w:val="auto"/>
          <w:sz w:val="24"/>
          <w:szCs w:val="24"/>
          <w:lang w:val="en-US" w:eastAsia="zh-CN"/>
        </w:rPr>
      </w:pPr>
      <w:bookmarkStart w:id="65" w:name="_Toc6540"/>
      <w:r>
        <w:rPr>
          <w:rFonts w:hint="eastAsia" w:ascii="宋体" w:hAnsi="宋体" w:eastAsia="宋体" w:cs="宋体"/>
          <w:color w:val="auto"/>
          <w:sz w:val="24"/>
          <w:szCs w:val="24"/>
          <w:lang w:val="en-US" w:eastAsia="zh-CN"/>
        </w:rPr>
        <w:t>该器械应用于心律失常介入诊疗时经皮房间隔穿刺使用。导丝长度180cm，前段7cm为柔软段，J型头端成角15°，代替常规使用穿刺针，且穿刺入左房后无需再次更换导丝，即刻完成鞘交换，与常规穿刺针相比，穿刺导丝柔软不易损伤心肌，可显著减少房间隔穿刺并发症发生率。</w:t>
      </w:r>
    </w:p>
    <w:p w14:paraId="4642AEAC">
      <w:pPr>
        <w:pStyle w:val="2"/>
        <w:rPr>
          <w:rFonts w:hint="eastAsia"/>
          <w:lang w:val="en-US" w:eastAsia="zh-CN"/>
        </w:rPr>
      </w:pPr>
    </w:p>
    <w:p w14:paraId="0B7A95AF">
      <w:pPr>
        <w:spacing w:line="320" w:lineRule="exact"/>
        <w:ind w:left="479" w:leftChars="85" w:hanging="241" w:hangingChars="100"/>
        <w:jc w:val="left"/>
        <w:rPr>
          <w:rFonts w:hint="eastAsia" w:ascii="宋体" w:hAnsi="宋体" w:eastAsia="宋体" w:cs="宋体"/>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2</w:t>
      </w:r>
    </w:p>
    <w:p w14:paraId="7D8C2192">
      <w:pPr>
        <w:spacing w:line="320" w:lineRule="exact"/>
        <w:ind w:left="478" w:leftChars="85" w:hanging="240" w:hangingChars="1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1.可以与心血管光学相干影像系统配合使用。</w:t>
      </w:r>
    </w:p>
    <w:p w14:paraId="5AA26FDB">
      <w:pPr>
        <w:spacing w:line="320" w:lineRule="exact"/>
        <w:ind w:left="478" w:leftChars="85" w:hanging="240" w:hangingChars="1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2.预期用于冠状动脉的成像，用于临床需要进行腔内介入治疗的患者。</w:t>
      </w:r>
    </w:p>
    <w:p w14:paraId="47044485">
      <w:pPr>
        <w:spacing w:line="320" w:lineRule="exact"/>
        <w:ind w:left="478" w:leftChars="85" w:hanging="240" w:hangingChars="1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3.成像导管远端外管上带有亲水性涂层。</w:t>
      </w:r>
    </w:p>
    <w:p w14:paraId="150C0811">
      <w:pPr>
        <w:spacing w:line="320" w:lineRule="exact"/>
        <w:ind w:left="478" w:leftChars="85" w:hanging="240" w:hangingChars="1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4.在冠状动脉介入中，成像导管与0.014英寸（0.356毫米）导引导丝配套使用。</w:t>
      </w:r>
    </w:p>
    <w:p w14:paraId="67755EFD">
      <w:pPr>
        <w:spacing w:line="320" w:lineRule="exact"/>
        <w:ind w:left="478" w:leftChars="85" w:hanging="240" w:hangingChars="1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5.成像导管远端带有镜头保护设计，导丝腔和镜头腔之间分隔式设计，可以避免导丝在输送过程中误伤镜头。</w:t>
      </w:r>
    </w:p>
    <w:p w14:paraId="620B9C1C">
      <w:pPr>
        <w:spacing w:line="320" w:lineRule="exact"/>
        <w:ind w:left="478" w:leftChars="85" w:hanging="240" w:hangingChars="1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6.工作条件</w:t>
      </w:r>
    </w:p>
    <w:p w14:paraId="65D01BFA">
      <w:pPr>
        <w:spacing w:line="320" w:lineRule="exact"/>
        <w:ind w:left="478" w:leftChars="85" w:hanging="240" w:hangingChars="1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a）环境温度：5℃～40℃；</w:t>
      </w:r>
    </w:p>
    <w:p w14:paraId="015A7827">
      <w:pPr>
        <w:spacing w:line="320" w:lineRule="exact"/>
        <w:ind w:left="478" w:leftChars="85" w:hanging="240" w:hangingChars="1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b）相对湿度：≥80%RH（无冷凝）；</w:t>
      </w:r>
    </w:p>
    <w:p w14:paraId="093EC97C">
      <w:pPr>
        <w:spacing w:line="320" w:lineRule="exact"/>
        <w:ind w:left="478" w:leftChars="85" w:hanging="240" w:hangingChars="1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c）大气压力：50.0KPa～106.0KPa；</w:t>
      </w:r>
    </w:p>
    <w:p w14:paraId="63C342AA">
      <w:pPr>
        <w:spacing w:line="320" w:lineRule="exact"/>
        <w:ind w:left="478" w:leftChars="85" w:hanging="240" w:hangingChars="1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d）需要与心血管光学相干影像系统（型号：P60、CornarisP80 Elite、Cornaris Mobile）配合使用</w:t>
      </w:r>
      <w:r>
        <w:rPr>
          <w:rFonts w:hint="eastAsia" w:ascii="宋体" w:hAnsi="宋体" w:cs="宋体"/>
          <w:color w:val="auto"/>
          <w:sz w:val="24"/>
          <w:szCs w:val="24"/>
          <w:lang w:val="en-US" w:eastAsia="zh-CN"/>
        </w:rPr>
        <w:t>；</w:t>
      </w:r>
    </w:p>
    <w:p w14:paraId="14BBBDC6">
      <w:pPr>
        <w:spacing w:line="320" w:lineRule="exact"/>
        <w:ind w:left="478" w:leftChars="85" w:hanging="240" w:hangingChars="1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7.头端外径2.58Fr（0.86mm），头端至镜头距离20mm。</w:t>
      </w:r>
    </w:p>
    <w:p w14:paraId="42CE9A64">
      <w:pPr>
        <w:spacing w:line="320" w:lineRule="exact"/>
        <w:ind w:left="478" w:leftChars="85" w:hanging="240" w:hangingChars="100"/>
        <w:rPr>
          <w:rFonts w:hint="eastAsia" w:ascii="宋体" w:hAnsi="宋体" w:eastAsia="宋体" w:cs="宋体"/>
          <w:sz w:val="24"/>
          <w:szCs w:val="24"/>
          <w:lang w:val="en-US" w:eastAsia="zh-CN"/>
        </w:rPr>
      </w:pPr>
    </w:p>
    <w:p w14:paraId="1C59979F">
      <w:pPr>
        <w:spacing w:line="320" w:lineRule="exact"/>
        <w:ind w:left="478" w:leftChars="85" w:hanging="240" w:hangingChars="100"/>
        <w:rPr>
          <w:rFonts w:hint="eastAsia" w:ascii="宋体" w:hAnsi="宋体" w:eastAsia="宋体" w:cs="宋体"/>
          <w:sz w:val="24"/>
          <w:szCs w:val="24"/>
          <w:lang w:val="en-US" w:eastAsia="zh-CN"/>
        </w:rPr>
      </w:pPr>
    </w:p>
    <w:p w14:paraId="22301578">
      <w:pPr>
        <w:spacing w:line="320" w:lineRule="exact"/>
        <w:ind w:left="479" w:leftChars="85" w:hanging="241" w:hangingChars="100"/>
        <w:rPr>
          <w:rFonts w:hint="eastAsia" w:ascii="Times New Roman" w:hAnsi="Times New Roman" w:eastAsia="宋体" w:cs="Times New Roman"/>
          <w:b/>
          <w:bCs/>
          <w:sz w:val="24"/>
          <w:szCs w:val="24"/>
          <w:lang w:val="en-US" w:eastAsia="zh-CN"/>
        </w:rPr>
      </w:pPr>
      <w:r>
        <w:rPr>
          <w:rFonts w:hint="default" w:ascii="Times New Roman" w:hAnsi="Times New Roman" w:eastAsia="宋体" w:cs="Times New Roman"/>
          <w:b/>
          <w:bCs/>
          <w:sz w:val="24"/>
          <w:szCs w:val="24"/>
          <w:lang w:val="en-US" w:eastAsia="zh-CN"/>
        </w:rPr>
        <w:t>包</w:t>
      </w:r>
      <w:r>
        <w:rPr>
          <w:rFonts w:hint="eastAsia" w:cs="Times New Roman"/>
          <w:b/>
          <w:bCs/>
          <w:sz w:val="24"/>
          <w:szCs w:val="24"/>
          <w:lang w:val="en-US" w:eastAsia="zh-CN"/>
        </w:rPr>
        <w:t>3</w:t>
      </w:r>
    </w:p>
    <w:p w14:paraId="4300DD9E">
      <w:pPr>
        <w:pStyle w:val="168"/>
        <w:widowControl/>
        <w:spacing w:line="40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1.配合与经导管植入式无导线</w:t>
      </w:r>
      <w:r>
        <w:rPr>
          <w:rFonts w:hint="eastAsia" w:ascii="宋体" w:hAnsi="宋体" w:cs="宋体"/>
          <w:sz w:val="24"/>
          <w:szCs w:val="24"/>
          <w:lang w:val="en-US" w:eastAsia="zh-CN"/>
        </w:rPr>
        <w:t>起搏</w:t>
      </w:r>
      <w:r>
        <w:rPr>
          <w:rFonts w:hint="eastAsia" w:ascii="宋体" w:hAnsi="宋体" w:eastAsia="宋体" w:cs="宋体"/>
          <w:sz w:val="24"/>
          <w:szCs w:val="24"/>
          <w:lang w:eastAsia="zh-CN"/>
        </w:rPr>
        <w:t>系统使用</w:t>
      </w:r>
      <w:r>
        <w:rPr>
          <w:rFonts w:hint="eastAsia" w:ascii="宋体" w:hAnsi="宋体" w:cs="宋体"/>
          <w:sz w:val="24"/>
          <w:szCs w:val="24"/>
          <w:lang w:eastAsia="zh-CN"/>
        </w:rPr>
        <w:t>；</w:t>
      </w:r>
    </w:p>
    <w:p w14:paraId="1895F7EE">
      <w:pPr>
        <w:pStyle w:val="168"/>
        <w:widowControl/>
        <w:spacing w:line="40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2.传送鞘管系统由扩张器和传送鞘管两个元件组成。扩张器不透射线并且有柔软的锥形尖端</w:t>
      </w:r>
      <w:r>
        <w:rPr>
          <w:rFonts w:hint="eastAsia" w:ascii="宋体" w:hAnsi="宋体" w:cs="宋体"/>
          <w:sz w:val="24"/>
          <w:szCs w:val="24"/>
          <w:lang w:eastAsia="zh-CN"/>
        </w:rPr>
        <w:t>；</w:t>
      </w:r>
    </w:p>
    <w:p w14:paraId="0458232C">
      <w:pPr>
        <w:pStyle w:val="168"/>
        <w:widowControl/>
        <w:spacing w:line="40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3.鞘管内径必须足够大以顺利通过所配套的无导线起搏器</w:t>
      </w:r>
      <w:r>
        <w:rPr>
          <w:rFonts w:hint="eastAsia" w:ascii="宋体" w:hAnsi="宋体" w:cs="宋体"/>
          <w:sz w:val="24"/>
          <w:szCs w:val="24"/>
          <w:lang w:eastAsia="zh-CN"/>
        </w:rPr>
        <w:t>；</w:t>
      </w:r>
    </w:p>
    <w:p w14:paraId="5E5C3E73">
      <w:pPr>
        <w:pStyle w:val="168"/>
        <w:widowControl/>
        <w:spacing w:line="40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4.鞘管外壁必须具有亲水涂层，该鞘管与带止血阀组件的坚硬密封壳体相连。</w:t>
      </w:r>
    </w:p>
    <w:p w14:paraId="395DCD40">
      <w:pPr>
        <w:pStyle w:val="31"/>
        <w:rPr>
          <w:rFonts w:hint="eastAsia"/>
          <w:lang w:eastAsia="zh-CN"/>
        </w:rPr>
      </w:pPr>
    </w:p>
    <w:p w14:paraId="12692889">
      <w:pPr>
        <w:spacing w:line="320" w:lineRule="exact"/>
        <w:ind w:left="479" w:leftChars="85" w:hanging="241" w:hangingChars="100"/>
        <w:rPr>
          <w:rFonts w:hint="eastAsia" w:ascii="宋体" w:hAnsi="宋体" w:eastAsia="宋体" w:cs="宋体"/>
          <w:sz w:val="24"/>
          <w:szCs w:val="24"/>
          <w:lang w:eastAsia="zh-CN"/>
        </w:rPr>
      </w:pPr>
      <w:r>
        <w:rPr>
          <w:rFonts w:hint="default" w:ascii="Times New Roman" w:hAnsi="Times New Roman" w:eastAsia="宋体" w:cs="Times New Roman"/>
          <w:b/>
          <w:bCs/>
          <w:sz w:val="24"/>
          <w:szCs w:val="24"/>
          <w:lang w:val="en-US" w:eastAsia="zh-CN"/>
        </w:rPr>
        <w:t>包</w:t>
      </w:r>
      <w:r>
        <w:rPr>
          <w:rFonts w:hint="eastAsia" w:cs="Times New Roman"/>
          <w:b/>
          <w:bCs/>
          <w:sz w:val="24"/>
          <w:szCs w:val="24"/>
          <w:lang w:val="en-US" w:eastAsia="zh-CN"/>
        </w:rPr>
        <w:t>4</w:t>
      </w:r>
    </w:p>
    <w:p w14:paraId="5EC75C81">
      <w:pPr>
        <w:pStyle w:val="168"/>
        <w:widowControl/>
        <w:spacing w:line="400" w:lineRule="exact"/>
        <w:ind w:firstLine="480" w:firstLineChars="200"/>
        <w:rPr>
          <w:rFonts w:hint="eastAsia" w:ascii="宋体" w:hAnsi="宋体" w:cs="宋体"/>
          <w:color w:val="000000"/>
          <w:sz w:val="24"/>
          <w:szCs w:val="24"/>
          <w:lang w:eastAsia="zh-CN"/>
        </w:rPr>
      </w:pPr>
      <w:r>
        <w:rPr>
          <w:rFonts w:hint="eastAsia" w:ascii="宋体" w:hAnsi="宋体" w:cs="宋体"/>
          <w:color w:val="000000"/>
          <w:sz w:val="24"/>
          <w:szCs w:val="24"/>
        </w:rPr>
        <w:t>左心部传送导管系统</w:t>
      </w:r>
      <w:r>
        <w:rPr>
          <w:rFonts w:hint="eastAsia" w:ascii="宋体" w:hAnsi="宋体" w:cs="宋体"/>
          <w:color w:val="000000"/>
          <w:sz w:val="24"/>
          <w:szCs w:val="24"/>
          <w:lang w:eastAsia="zh-CN"/>
        </w:rPr>
        <w:t>：</w:t>
      </w:r>
    </w:p>
    <w:p w14:paraId="04173A50">
      <w:pPr>
        <w:pStyle w:val="168"/>
        <w:widowControl/>
        <w:spacing w:line="40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1.用途</w:t>
      </w:r>
      <w:r>
        <w:rPr>
          <w:rFonts w:hint="eastAsia" w:ascii="宋体" w:hAnsi="宋体" w:cs="宋体"/>
          <w:sz w:val="24"/>
          <w:szCs w:val="24"/>
          <w:lang w:eastAsia="zh-CN"/>
        </w:rPr>
        <w:t>：</w:t>
      </w:r>
      <w:r>
        <w:rPr>
          <w:rFonts w:hint="eastAsia" w:ascii="宋体" w:hAnsi="宋体" w:eastAsia="宋体" w:cs="宋体"/>
          <w:sz w:val="24"/>
          <w:szCs w:val="24"/>
          <w:lang w:eastAsia="zh-CN"/>
        </w:rPr>
        <w:t>将电极</w:t>
      </w:r>
      <w:r>
        <w:rPr>
          <w:rFonts w:hint="eastAsia" w:ascii="宋体" w:hAnsi="宋体" w:cs="宋体"/>
          <w:sz w:val="24"/>
          <w:szCs w:val="24"/>
          <w:lang w:val="en-US" w:eastAsia="zh-CN"/>
        </w:rPr>
        <w:t>和</w:t>
      </w:r>
      <w:r>
        <w:rPr>
          <w:rFonts w:hint="eastAsia" w:ascii="宋体" w:hAnsi="宋体" w:eastAsia="宋体" w:cs="宋体"/>
          <w:sz w:val="24"/>
          <w:szCs w:val="24"/>
          <w:lang w:eastAsia="zh-CN"/>
        </w:rPr>
        <w:t>其他经静脉器械通过冠状窦导入左心室血管</w:t>
      </w:r>
      <w:r>
        <w:rPr>
          <w:rFonts w:hint="eastAsia" w:ascii="宋体" w:hAnsi="宋体" w:cs="宋体"/>
          <w:sz w:val="24"/>
          <w:szCs w:val="24"/>
          <w:lang w:eastAsia="zh-CN"/>
        </w:rPr>
        <w:t>；</w:t>
      </w:r>
    </w:p>
    <w:p w14:paraId="5BB64368">
      <w:pPr>
        <w:pStyle w:val="168"/>
        <w:widowControl/>
        <w:spacing w:line="40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2.参数</w:t>
      </w:r>
      <w:r>
        <w:rPr>
          <w:rFonts w:hint="eastAsia" w:ascii="宋体" w:hAnsi="宋体" w:cs="宋体"/>
          <w:sz w:val="24"/>
          <w:szCs w:val="24"/>
          <w:lang w:eastAsia="zh-CN"/>
        </w:rPr>
        <w:t>：</w:t>
      </w:r>
      <w:r>
        <w:rPr>
          <w:rFonts w:hint="eastAsia" w:ascii="宋体" w:hAnsi="宋体" w:eastAsia="宋体" w:cs="宋体"/>
          <w:sz w:val="24"/>
          <w:szCs w:val="24"/>
          <w:lang w:eastAsia="zh-CN"/>
        </w:rPr>
        <w:t>导引导管外径8.5-9F,长度45-57.5cm,预设双弯，兼容起搏导线直径</w:t>
      </w:r>
      <w:r>
        <w:rPr>
          <w:rFonts w:hint="eastAsia" w:ascii="宋体" w:hAnsi="宋体" w:cs="宋体"/>
          <w:sz w:val="24"/>
          <w:szCs w:val="24"/>
          <w:lang w:val="en-US" w:eastAsia="zh-CN"/>
        </w:rPr>
        <w:t>≤</w:t>
      </w:r>
      <w:r>
        <w:rPr>
          <w:rFonts w:hint="eastAsia" w:ascii="宋体" w:hAnsi="宋体" w:eastAsia="宋体" w:cs="宋体"/>
          <w:sz w:val="24"/>
          <w:szCs w:val="24"/>
          <w:lang w:eastAsia="zh-CN"/>
        </w:rPr>
        <w:t>6.2F</w:t>
      </w:r>
      <w:r>
        <w:rPr>
          <w:rFonts w:hint="eastAsia" w:ascii="宋体" w:hAnsi="宋体" w:cs="宋体"/>
          <w:sz w:val="24"/>
          <w:szCs w:val="24"/>
          <w:lang w:eastAsia="zh-CN"/>
        </w:rPr>
        <w:t>；</w:t>
      </w:r>
    </w:p>
    <w:p w14:paraId="689CC5BD">
      <w:pPr>
        <w:pStyle w:val="168"/>
        <w:widowControl/>
        <w:spacing w:line="40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3.外壁亲水涂层，近端配备一体式止血阀，远端配备显影标记，提供多种规格。</w:t>
      </w:r>
    </w:p>
    <w:p w14:paraId="62EF813D">
      <w:pPr>
        <w:pStyle w:val="31"/>
        <w:rPr>
          <w:rFonts w:hint="eastAsia"/>
          <w:lang w:eastAsia="zh-CN"/>
        </w:rPr>
      </w:pPr>
    </w:p>
    <w:p w14:paraId="42D2E9F4">
      <w:pPr>
        <w:pStyle w:val="168"/>
        <w:widowControl/>
        <w:spacing w:line="400" w:lineRule="exact"/>
        <w:ind w:firstLine="480" w:firstLineChars="200"/>
        <w:rPr>
          <w:rFonts w:hint="eastAsia" w:ascii="宋体" w:hAnsi="宋体" w:eastAsia="宋体" w:cs="宋体"/>
          <w:sz w:val="24"/>
          <w:szCs w:val="24"/>
          <w:lang w:eastAsia="zh-CN"/>
        </w:rPr>
      </w:pPr>
      <w:r>
        <w:rPr>
          <w:rFonts w:hint="eastAsia" w:ascii="宋体" w:hAnsi="宋体" w:cs="宋体"/>
          <w:color w:val="000000"/>
          <w:sz w:val="24"/>
          <w:szCs w:val="24"/>
        </w:rPr>
        <w:t>传送导管系统</w:t>
      </w:r>
      <w:r>
        <w:rPr>
          <w:rFonts w:hint="eastAsia" w:ascii="宋体" w:hAnsi="宋体" w:cs="宋体"/>
          <w:color w:val="000000"/>
          <w:sz w:val="24"/>
          <w:szCs w:val="24"/>
          <w:lang w:eastAsia="zh-CN"/>
        </w:rPr>
        <w:t>：</w:t>
      </w:r>
    </w:p>
    <w:p w14:paraId="04DCE34C">
      <w:pPr>
        <w:pStyle w:val="168"/>
        <w:widowControl/>
        <w:spacing w:line="40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1.用途</w:t>
      </w:r>
      <w:r>
        <w:rPr>
          <w:rFonts w:hint="eastAsia" w:ascii="宋体" w:hAnsi="宋体" w:cs="宋体"/>
          <w:sz w:val="24"/>
          <w:szCs w:val="24"/>
          <w:lang w:eastAsia="zh-CN"/>
        </w:rPr>
        <w:t>：</w:t>
      </w:r>
      <w:r>
        <w:rPr>
          <w:rFonts w:hint="eastAsia" w:ascii="宋体" w:hAnsi="宋体" w:eastAsia="宋体" w:cs="宋体"/>
          <w:sz w:val="24"/>
          <w:szCs w:val="24"/>
          <w:lang w:eastAsia="zh-CN"/>
        </w:rPr>
        <w:t>将造影剂和经静脉植入器械导入冠状窦或左心部静脉血管。配合与左心部传送导管系统使用</w:t>
      </w:r>
      <w:r>
        <w:rPr>
          <w:rFonts w:hint="eastAsia" w:ascii="宋体" w:hAnsi="宋体" w:cs="宋体"/>
          <w:sz w:val="24"/>
          <w:szCs w:val="24"/>
          <w:lang w:eastAsia="zh-CN"/>
        </w:rPr>
        <w:t>；</w:t>
      </w:r>
    </w:p>
    <w:p w14:paraId="69D654C6">
      <w:pPr>
        <w:pStyle w:val="168"/>
        <w:widowControl/>
        <w:spacing w:line="40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2.参数</w:t>
      </w:r>
      <w:r>
        <w:rPr>
          <w:rFonts w:hint="eastAsia" w:ascii="宋体" w:hAnsi="宋体" w:cs="宋体"/>
          <w:sz w:val="24"/>
          <w:szCs w:val="24"/>
          <w:lang w:eastAsia="zh-CN"/>
        </w:rPr>
        <w:t>：</w:t>
      </w:r>
      <w:r>
        <w:rPr>
          <w:rFonts w:hint="eastAsia" w:ascii="宋体" w:hAnsi="宋体" w:eastAsia="宋体" w:cs="宋体"/>
          <w:sz w:val="24"/>
          <w:szCs w:val="24"/>
          <w:lang w:eastAsia="zh-CN"/>
        </w:rPr>
        <w:t>外径7.1F，长度57-65cm，预设弯度，弯度90-130°，兼容起搏电极导线电极体直径≤5.3F，兼容起搏电极导线电极体头端直径≤5.6F</w:t>
      </w:r>
      <w:r>
        <w:rPr>
          <w:rFonts w:hint="eastAsia" w:ascii="宋体" w:hAnsi="宋体" w:cs="宋体"/>
          <w:sz w:val="24"/>
          <w:szCs w:val="24"/>
          <w:lang w:eastAsia="zh-CN"/>
        </w:rPr>
        <w:t>；</w:t>
      </w:r>
    </w:p>
    <w:p w14:paraId="4606FF09">
      <w:pPr>
        <w:pStyle w:val="168"/>
        <w:widowControl/>
        <w:spacing w:line="40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3.外壁亲水涂层，近端配备一体式止血阀，远端配备显影标记，提供多种规格。</w:t>
      </w:r>
    </w:p>
    <w:p w14:paraId="721D7BFD">
      <w:pPr>
        <w:pStyle w:val="31"/>
        <w:rPr>
          <w:rFonts w:hint="eastAsia"/>
          <w:lang w:eastAsia="zh-CN"/>
        </w:rPr>
      </w:pPr>
    </w:p>
    <w:p w14:paraId="355CEF26">
      <w:pPr>
        <w:spacing w:line="320" w:lineRule="exact"/>
        <w:ind w:left="479" w:leftChars="85" w:hanging="241" w:hangingChars="100"/>
        <w:rPr>
          <w:rFonts w:hint="eastAsia" w:ascii="宋体" w:hAnsi="宋体" w:eastAsia="宋体" w:cs="宋体"/>
          <w:sz w:val="24"/>
          <w:szCs w:val="24"/>
          <w:lang w:eastAsia="zh-CN"/>
        </w:rPr>
      </w:pPr>
      <w:r>
        <w:rPr>
          <w:rFonts w:hint="default" w:ascii="Times New Roman" w:hAnsi="Times New Roman" w:eastAsia="宋体" w:cs="Times New Roman"/>
          <w:b/>
          <w:bCs/>
          <w:sz w:val="24"/>
          <w:szCs w:val="24"/>
          <w:lang w:val="en-US" w:eastAsia="zh-CN"/>
        </w:rPr>
        <w:t>包</w:t>
      </w:r>
      <w:r>
        <w:rPr>
          <w:rFonts w:hint="eastAsia" w:cs="Times New Roman"/>
          <w:b/>
          <w:bCs/>
          <w:sz w:val="24"/>
          <w:szCs w:val="24"/>
          <w:lang w:val="en-US" w:eastAsia="zh-CN"/>
        </w:rPr>
        <w:t>5</w:t>
      </w:r>
    </w:p>
    <w:p w14:paraId="18921C5A">
      <w:pPr>
        <w:pStyle w:val="168"/>
        <w:widowControl/>
        <w:spacing w:line="40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1、用途</w:t>
      </w:r>
      <w:r>
        <w:rPr>
          <w:rFonts w:hint="eastAsia" w:ascii="宋体" w:hAnsi="宋体" w:cs="宋体"/>
          <w:sz w:val="24"/>
          <w:szCs w:val="24"/>
          <w:lang w:eastAsia="zh-CN"/>
        </w:rPr>
        <w:t>：</w:t>
      </w:r>
      <w:r>
        <w:rPr>
          <w:rFonts w:hint="eastAsia" w:ascii="宋体" w:hAnsi="宋体" w:eastAsia="宋体" w:cs="宋体"/>
          <w:sz w:val="24"/>
          <w:szCs w:val="24"/>
          <w:lang w:eastAsia="zh-CN"/>
        </w:rPr>
        <w:t>将起搏电极导线旋入房间隔/室间隔，直接捕获巴赫曼束/左束支，从而产生更接近正常生理状态的心房/心室激动顺序，是一项生理性起搏技术。</w:t>
      </w:r>
    </w:p>
    <w:p w14:paraId="3CB1249A">
      <w:pPr>
        <w:pStyle w:val="168"/>
        <w:widowControl/>
        <w:spacing w:line="40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2、参数</w:t>
      </w:r>
      <w:r>
        <w:rPr>
          <w:rFonts w:hint="eastAsia" w:ascii="宋体" w:hAnsi="宋体" w:cs="宋体"/>
          <w:sz w:val="24"/>
          <w:szCs w:val="24"/>
          <w:lang w:eastAsia="zh-CN"/>
        </w:rPr>
        <w:t>：</w:t>
      </w:r>
      <w:r>
        <w:rPr>
          <w:rFonts w:hint="eastAsia" w:ascii="宋体" w:hAnsi="宋体" w:eastAsia="宋体" w:cs="宋体"/>
          <w:sz w:val="24"/>
          <w:szCs w:val="24"/>
          <w:lang w:eastAsia="zh-CN"/>
        </w:rPr>
        <w:t>由扩张器和导引导管组成。导引导管外径7.0F，内径5.4F，导引导管有效长度20-43cm，预设弯度，兼容起搏电极导线直径≤4.2F。</w:t>
      </w:r>
    </w:p>
    <w:p w14:paraId="75E5119D">
      <w:pPr>
        <w:pStyle w:val="168"/>
        <w:widowControl/>
        <w:spacing w:line="40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3.外壁亲水涂层，近端配备一体式止血阀，远端配备显影标记，提供多种规格</w:t>
      </w:r>
      <w:r>
        <w:rPr>
          <w:rFonts w:hint="eastAsia" w:ascii="宋体" w:hAnsi="宋体" w:cs="宋体"/>
          <w:sz w:val="24"/>
          <w:szCs w:val="24"/>
          <w:lang w:eastAsia="zh-CN"/>
        </w:rPr>
        <w:t>。</w:t>
      </w:r>
    </w:p>
    <w:p w14:paraId="3DB81229">
      <w:pPr>
        <w:pStyle w:val="31"/>
        <w:rPr>
          <w:rFonts w:hint="eastAsia"/>
          <w:lang w:eastAsia="zh-CN"/>
        </w:rPr>
      </w:pPr>
    </w:p>
    <w:p w14:paraId="4D64A6A9">
      <w:pPr>
        <w:spacing w:line="320" w:lineRule="exact"/>
        <w:ind w:left="479" w:leftChars="85" w:hanging="241" w:hangingChars="100"/>
        <w:rPr>
          <w:rFonts w:hint="eastAsia" w:ascii="宋体" w:hAnsi="宋体" w:eastAsia="宋体" w:cs="宋体"/>
          <w:sz w:val="24"/>
          <w:szCs w:val="24"/>
          <w:lang w:eastAsia="zh-CN"/>
        </w:rPr>
      </w:pPr>
      <w:r>
        <w:rPr>
          <w:rFonts w:hint="default" w:ascii="Times New Roman" w:hAnsi="Times New Roman" w:eastAsia="宋体" w:cs="Times New Roman"/>
          <w:b/>
          <w:bCs/>
          <w:sz w:val="24"/>
          <w:szCs w:val="24"/>
          <w:lang w:val="en-US" w:eastAsia="zh-CN"/>
        </w:rPr>
        <w:t>包</w:t>
      </w:r>
      <w:r>
        <w:rPr>
          <w:rFonts w:hint="eastAsia" w:cs="Times New Roman"/>
          <w:b/>
          <w:bCs/>
          <w:sz w:val="24"/>
          <w:szCs w:val="24"/>
          <w:lang w:val="en-US" w:eastAsia="zh-CN"/>
        </w:rPr>
        <w:t>6</w:t>
      </w:r>
    </w:p>
    <w:p w14:paraId="4227F546">
      <w:pPr>
        <w:pStyle w:val="168"/>
        <w:widowControl/>
        <w:spacing w:line="40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功能</w:t>
      </w:r>
      <w:r>
        <w:rPr>
          <w:rFonts w:hint="eastAsia" w:ascii="宋体" w:hAnsi="宋体" w:cs="宋体"/>
          <w:sz w:val="24"/>
          <w:szCs w:val="24"/>
          <w:lang w:eastAsia="zh-CN"/>
        </w:rPr>
        <w:t>：</w:t>
      </w:r>
      <w:r>
        <w:rPr>
          <w:rFonts w:hint="eastAsia" w:ascii="宋体" w:hAnsi="宋体" w:eastAsia="宋体" w:cs="宋体"/>
          <w:sz w:val="24"/>
          <w:szCs w:val="24"/>
          <w:lang w:eastAsia="zh-CN"/>
        </w:rPr>
        <w:t>一次性使用压力监测射频消融导管(QD0T)是一款高功率短时间的温控自反馈导管，用于心脏电生理标测(刺激和记录)，与强生的射频消融仪配合使用时，可用于症状性的快速性心律失常导管消融治疗。与电生理导航系统配合使用时提供导管头端和心壁之间触点压力的实时测量以及定位信息。</w:t>
      </w:r>
    </w:p>
    <w:p w14:paraId="74B9E91C">
      <w:pPr>
        <w:pStyle w:val="168"/>
        <w:widowControl/>
        <w:spacing w:line="40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参数</w:t>
      </w:r>
      <w:r>
        <w:rPr>
          <w:rFonts w:hint="eastAsia" w:ascii="宋体" w:hAnsi="宋体" w:cs="宋体"/>
          <w:sz w:val="24"/>
          <w:szCs w:val="24"/>
          <w:lang w:eastAsia="zh-CN"/>
        </w:rPr>
        <w:t>：</w:t>
      </w:r>
      <w:r>
        <w:rPr>
          <w:rFonts w:hint="eastAsia" w:ascii="宋体" w:hAnsi="宋体" w:eastAsia="宋体" w:cs="宋体"/>
          <w:sz w:val="24"/>
          <w:szCs w:val="24"/>
          <w:lang w:eastAsia="zh-CN"/>
        </w:rPr>
        <w:t>1.导管头端具有六个温度监测电极，实时提供温度反馈。</w:t>
      </w:r>
    </w:p>
    <w:p w14:paraId="159696E3">
      <w:pPr>
        <w:pStyle w:val="168"/>
        <w:widowControl/>
        <w:spacing w:line="40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2.QD0TMICRO将扩散外部冲洗与位</w:t>
      </w:r>
      <w:r>
        <w:rPr>
          <w:rFonts w:hint="eastAsia" w:ascii="宋体" w:hAnsi="宋体" w:cs="宋体"/>
          <w:sz w:val="24"/>
          <w:szCs w:val="24"/>
          <w:lang w:val="en-US" w:eastAsia="zh-CN"/>
        </w:rPr>
        <w:t>于</w:t>
      </w:r>
      <w:r>
        <w:rPr>
          <w:rFonts w:hint="eastAsia" w:ascii="宋体" w:hAnsi="宋体" w:eastAsia="宋体" w:cs="宋体"/>
          <w:sz w:val="24"/>
          <w:szCs w:val="24"/>
          <w:lang w:eastAsia="zh-CN"/>
        </w:rPr>
        <w:t>导管金属外壳内的六个热电偶和位于3.5mm尖端的三个附加微电极组合在起</w:t>
      </w:r>
    </w:p>
    <w:p w14:paraId="16A5A415">
      <w:pPr>
        <w:pStyle w:val="168"/>
        <w:widowControl/>
        <w:spacing w:line="40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微电极直径0.32mm，每个电极的表面积为0.086平方毫米，3个微电极提供高分辨率电图和离散局部信号。</w:t>
      </w:r>
    </w:p>
    <w:p w14:paraId="11404D71">
      <w:pPr>
        <w:pStyle w:val="168"/>
        <w:widowControl/>
        <w:spacing w:line="40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3.此导管有一个高扭矩的管身和一个单向可调弯的头端，头端装有一组电极(含3.5mm的头部圆顶)。</w:t>
      </w:r>
    </w:p>
    <w:p w14:paraId="30C8E4BF">
      <w:pPr>
        <w:pStyle w:val="168"/>
        <w:widowControl/>
        <w:spacing w:line="40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4.所有这些电极均可用于进行记录和刺激。</w:t>
      </w:r>
    </w:p>
    <w:p w14:paraId="2CC5C87D">
      <w:pPr>
        <w:pStyle w:val="168"/>
        <w:widowControl/>
        <w:spacing w:line="40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5.导管内置六个热电偶温度传感器和三个ECG微电极，嵌装在3.5mm的头端电极内。</w:t>
      </w:r>
    </w:p>
    <w:p w14:paraId="6FA133A8">
      <w:pPr>
        <w:spacing w:line="320" w:lineRule="exact"/>
        <w:ind w:left="478" w:leftChars="85" w:hanging="240" w:hangingChars="100"/>
        <w:jc w:val="left"/>
        <w:rPr>
          <w:rFonts w:hint="eastAsia" w:ascii="宋体" w:hAnsi="宋体" w:cs="宋体"/>
          <w:sz w:val="24"/>
          <w:szCs w:val="24"/>
          <w:lang w:eastAsia="zh-CN"/>
        </w:rPr>
      </w:pPr>
      <w:r>
        <w:rPr>
          <w:rFonts w:hint="eastAsia" w:ascii="宋体" w:hAnsi="宋体" w:eastAsia="宋体" w:cs="宋体"/>
          <w:sz w:val="24"/>
          <w:szCs w:val="24"/>
          <w:lang w:eastAsia="zh-CN"/>
        </w:rPr>
        <w:t>6.指调旋钮用于偏转头端。还可以通过高扭矩的管身旋转弯曲头部的平面，以利于将导管头端准确定位在目标部位上</w:t>
      </w:r>
      <w:r>
        <w:rPr>
          <w:rFonts w:hint="eastAsia" w:ascii="宋体" w:hAnsi="宋体" w:cs="宋体"/>
          <w:sz w:val="24"/>
          <w:szCs w:val="24"/>
          <w:lang w:eastAsia="zh-CN"/>
        </w:rPr>
        <w:t>。</w:t>
      </w:r>
    </w:p>
    <w:p w14:paraId="7285F9AA">
      <w:pPr>
        <w:spacing w:line="320" w:lineRule="exact"/>
        <w:ind w:left="478" w:leftChars="85" w:hanging="240" w:hangingChars="100"/>
        <w:jc w:val="left"/>
        <w:rPr>
          <w:rFonts w:hint="eastAsia" w:ascii="宋体" w:hAnsi="宋体" w:cs="宋体"/>
          <w:sz w:val="24"/>
          <w:szCs w:val="24"/>
          <w:lang w:eastAsia="zh-CN"/>
        </w:rPr>
      </w:pPr>
    </w:p>
    <w:p w14:paraId="2971609A">
      <w:pPr>
        <w:spacing w:line="320" w:lineRule="exact"/>
        <w:ind w:left="479" w:leftChars="85" w:hanging="241" w:hangingChars="100"/>
        <w:jc w:val="left"/>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7</w:t>
      </w:r>
    </w:p>
    <w:p w14:paraId="1FE07CEF">
      <w:pPr>
        <w:spacing w:line="320" w:lineRule="exact"/>
        <w:ind w:left="478" w:leftChars="85" w:hanging="240" w:hangingChars="1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功能简介</w:t>
      </w:r>
      <w:r>
        <w:rPr>
          <w:rFonts w:hint="eastAsia" w:ascii="宋体" w:hAnsi="宋体" w:cs="宋体"/>
          <w:color w:val="auto"/>
          <w:sz w:val="24"/>
          <w:szCs w:val="24"/>
          <w:lang w:val="en-US" w:eastAsia="zh-CN"/>
        </w:rPr>
        <w:t>：</w:t>
      </w:r>
      <w:r>
        <w:rPr>
          <w:rFonts w:hint="eastAsia" w:ascii="宋体" w:hAnsi="宋体" w:eastAsia="宋体" w:cs="宋体"/>
          <w:color w:val="auto"/>
          <w:sz w:val="24"/>
          <w:szCs w:val="24"/>
          <w:lang w:val="en-US" w:eastAsia="zh-CN"/>
        </w:rPr>
        <w:t>ACT（激活全血凝固时间）检测仪配套试管作为血液样本检测用容器，配合激活全血凝固时间（ACT）检测仪进行样本凝血时间检测。ACT检测仪使用前应准备好配套试管，加入12mg±1.2mg化学纯硅藻土，盖好试管盖。支架装入时应可使磁柱正常旋转，避免压入过紧。血样注入配套试管后，要轻轻摇动10～20次，使血液与作为激活剂的硅藻土混均。将配套试管插入ACT检测仪前面板的试管井内，操作ACT检测仪进行测试。</w:t>
      </w:r>
    </w:p>
    <w:p w14:paraId="07BD444F">
      <w:pPr>
        <w:spacing w:line="320" w:lineRule="exact"/>
        <w:ind w:left="478" w:leftChars="85" w:hanging="240" w:hangingChars="1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参数</w:t>
      </w:r>
      <w:r>
        <w:rPr>
          <w:rFonts w:hint="eastAsia" w:ascii="宋体" w:hAnsi="宋体" w:cs="宋体"/>
          <w:color w:val="auto"/>
          <w:sz w:val="24"/>
          <w:szCs w:val="24"/>
          <w:lang w:val="en-US" w:eastAsia="zh-CN"/>
        </w:rPr>
        <w:t>：</w:t>
      </w:r>
    </w:p>
    <w:p w14:paraId="3A829DAC">
      <w:pPr>
        <w:spacing w:line="320" w:lineRule="exact"/>
        <w:ind w:left="478" w:leftChars="85" w:hanging="240" w:hangingChars="1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1.配套试管尺寸（内径×长度）：Φ11.4mm×100mm。</w:t>
      </w:r>
    </w:p>
    <w:p w14:paraId="0533B1E9">
      <w:pPr>
        <w:spacing w:line="320" w:lineRule="exact"/>
        <w:ind w:left="478" w:leftChars="85" w:hanging="240" w:hangingChars="1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2.配套试管外观应洁净，无杂质、裂纹等缺陷。</w:t>
      </w:r>
    </w:p>
    <w:p w14:paraId="370FC8D9">
      <w:pPr>
        <w:spacing w:line="320" w:lineRule="exact"/>
        <w:ind w:left="478" w:leftChars="85" w:hanging="240" w:hangingChars="1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3.配套试管规格一盒80支。</w:t>
      </w:r>
    </w:p>
    <w:p w14:paraId="0DB388D7">
      <w:pPr>
        <w:spacing w:line="320" w:lineRule="exact"/>
        <w:jc w:val="left"/>
        <w:rPr>
          <w:rFonts w:hint="eastAsia" w:ascii="宋体" w:hAnsi="宋体" w:eastAsia="宋体" w:cs="宋体"/>
          <w:color w:val="auto"/>
          <w:sz w:val="24"/>
          <w:szCs w:val="24"/>
          <w:lang w:val="en-US" w:eastAsia="zh-CN"/>
        </w:rPr>
      </w:pPr>
    </w:p>
    <w:p w14:paraId="59C3A4C5">
      <w:pPr>
        <w:pStyle w:val="2"/>
        <w:rPr>
          <w:rFonts w:hint="eastAsia"/>
          <w:lang w:val="en-US" w:eastAsia="zh-CN"/>
        </w:rPr>
      </w:pPr>
    </w:p>
    <w:p w14:paraId="278004E3">
      <w:pPr>
        <w:pStyle w:val="2"/>
        <w:ind w:firstLine="480" w:firstLineChars="200"/>
        <w:rPr>
          <w:rFonts w:hint="eastAsia" w:ascii="微软雅黑" w:hAnsi="微软雅黑" w:eastAsia="微软雅黑" w:cs="微软雅黑"/>
          <w:b/>
          <w:bCs/>
          <w:kern w:val="2"/>
          <w:sz w:val="24"/>
          <w:szCs w:val="24"/>
          <w:lang w:val="en-US" w:eastAsia="zh-CN" w:bidi="ar-SA"/>
        </w:rPr>
      </w:pPr>
      <w:r>
        <w:rPr>
          <w:rFonts w:hint="eastAsia" w:ascii="微软雅黑" w:hAnsi="微软雅黑" w:eastAsia="微软雅黑" w:cs="微软雅黑"/>
          <w:b/>
          <w:bCs/>
          <w:kern w:val="2"/>
          <w:sz w:val="24"/>
          <w:szCs w:val="24"/>
          <w:lang w:val="en-US" w:eastAsia="zh-CN" w:bidi="ar-SA"/>
        </w:rPr>
        <w:t>注：供应商需携带产品样品、产品彩页、产品说明书、与我院规模相近或更大的三甲教学医院客户的合同或发票等资料。</w:t>
      </w:r>
    </w:p>
    <w:p w14:paraId="665739FE">
      <w:pPr>
        <w:spacing w:line="400" w:lineRule="exact"/>
        <w:outlineLvl w:val="1"/>
        <w:rPr>
          <w:rFonts w:hint="default" w:ascii="Times New Roman" w:hAnsi="Times New Roman" w:cs="Times New Roman"/>
          <w:b/>
          <w:color w:val="auto"/>
          <w:sz w:val="24"/>
        </w:rPr>
      </w:pPr>
      <w:r>
        <w:rPr>
          <w:rFonts w:hint="default" w:ascii="Times New Roman" w:hAnsi="Times New Roman" w:cs="Times New Roman"/>
          <w:b/>
          <w:color w:val="auto"/>
          <w:sz w:val="24"/>
        </w:rPr>
        <w:t>二、</w:t>
      </w:r>
      <w:bookmarkEnd w:id="58"/>
      <w:bookmarkEnd w:id="59"/>
      <w:bookmarkEnd w:id="60"/>
      <w:bookmarkEnd w:id="61"/>
      <w:bookmarkEnd w:id="62"/>
      <w:r>
        <w:rPr>
          <w:rFonts w:hint="default" w:ascii="Times New Roman" w:hAnsi="Times New Roman" w:cs="Times New Roman"/>
          <w:b/>
          <w:color w:val="auto"/>
          <w:sz w:val="24"/>
        </w:rPr>
        <w:t>商务需求</w:t>
      </w:r>
      <w:bookmarkEnd w:id="63"/>
      <w:bookmarkEnd w:id="64"/>
      <w:bookmarkEnd w:id="65"/>
    </w:p>
    <w:p w14:paraId="2B1FE3D5">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6060E29A">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2BEDD017">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1CA9A791">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6" w:name="_Toc2072"/>
      <w:bookmarkStart w:id="67" w:name="_Toc76373878"/>
      <w:bookmarkStart w:id="68" w:name="_Toc4791"/>
      <w:bookmarkStart w:id="69" w:name="_Toc17524"/>
      <w:bookmarkStart w:id="70" w:name="_Toc17944"/>
      <w:bookmarkStart w:id="71" w:name="_Toc24122"/>
      <w:bookmarkStart w:id="72" w:name="_Toc31843"/>
      <w:bookmarkStart w:id="73" w:name="_Toc7794"/>
      <w:bookmarkStart w:id="74" w:name="_Toc1768"/>
      <w:bookmarkStart w:id="75" w:name="_Toc15650"/>
      <w:bookmarkStart w:id="76"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20FCA41E">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6"/>
      <w:bookmarkEnd w:id="67"/>
      <w:bookmarkEnd w:id="68"/>
      <w:bookmarkEnd w:id="69"/>
      <w:bookmarkEnd w:id="70"/>
      <w:bookmarkEnd w:id="71"/>
      <w:bookmarkEnd w:id="72"/>
      <w:bookmarkEnd w:id="73"/>
      <w:bookmarkEnd w:id="74"/>
      <w:bookmarkEnd w:id="75"/>
    </w:p>
    <w:p w14:paraId="7C9129A5">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7" w:name="_Toc22561"/>
      <w:bookmarkStart w:id="78" w:name="_Toc29836"/>
      <w:bookmarkStart w:id="79" w:name="_Toc76373879"/>
      <w:bookmarkStart w:id="80" w:name="_Toc30551"/>
      <w:bookmarkStart w:id="81" w:name="_Toc9339"/>
      <w:bookmarkStart w:id="82" w:name="_Toc5959"/>
      <w:bookmarkStart w:id="83" w:name="_Toc14311"/>
      <w:bookmarkStart w:id="84" w:name="_Toc16908"/>
      <w:bookmarkStart w:id="85" w:name="_Toc13528"/>
      <w:bookmarkStart w:id="86" w:name="_Toc28942"/>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6"/>
    <w:bookmarkEnd w:id="77"/>
    <w:bookmarkEnd w:id="78"/>
    <w:bookmarkEnd w:id="79"/>
    <w:bookmarkEnd w:id="80"/>
    <w:bookmarkEnd w:id="81"/>
    <w:bookmarkEnd w:id="82"/>
    <w:bookmarkEnd w:id="83"/>
    <w:p w14:paraId="463AA7D2">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4"/>
      <w:bookmarkEnd w:id="85"/>
      <w:bookmarkEnd w:id="86"/>
    </w:p>
    <w:p w14:paraId="6B6AE224">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AEC7ADC">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5D0E1D7B">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F4724FC">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7" w:name="_Toc20772"/>
      <w:bookmarkStart w:id="88" w:name="_Toc76373885"/>
      <w:bookmarkStart w:id="89" w:name="_Toc12384"/>
      <w:bookmarkStart w:id="90" w:name="_Toc27737"/>
      <w:bookmarkStart w:id="91" w:name="_Toc2258"/>
      <w:bookmarkStart w:id="92" w:name="_Toc20263"/>
      <w:bookmarkStart w:id="93" w:name="_Toc27893"/>
      <w:r>
        <w:rPr>
          <w:rFonts w:hint="eastAsia" w:ascii="宋体" w:hAnsi="宋体" w:cs="宋体"/>
          <w:b/>
          <w:color w:val="auto"/>
          <w:szCs w:val="36"/>
        </w:rPr>
        <w:t>第三篇  资格审查及评价办法</w:t>
      </w:r>
      <w:bookmarkEnd w:id="87"/>
      <w:bookmarkEnd w:id="88"/>
      <w:bookmarkEnd w:id="89"/>
      <w:bookmarkEnd w:id="90"/>
      <w:bookmarkEnd w:id="91"/>
      <w:bookmarkEnd w:id="92"/>
      <w:bookmarkEnd w:id="93"/>
    </w:p>
    <w:p w14:paraId="49129F66">
      <w:pPr>
        <w:spacing w:line="400" w:lineRule="exact"/>
        <w:rPr>
          <w:rFonts w:hint="eastAsia" w:cs="宋体"/>
          <w:b/>
          <w:color w:val="auto"/>
          <w:sz w:val="24"/>
        </w:rPr>
      </w:pPr>
      <w:bookmarkStart w:id="94" w:name="_Toc7115"/>
      <w:bookmarkStart w:id="95" w:name="_Toc12712"/>
      <w:bookmarkStart w:id="96" w:name="_Toc28189"/>
      <w:bookmarkStart w:id="97" w:name="_Toc76373886"/>
      <w:bookmarkStart w:id="98" w:name="_Toc11052"/>
      <w:bookmarkStart w:id="99" w:name="_Toc23699"/>
    </w:p>
    <w:p w14:paraId="6C8393AD">
      <w:pPr>
        <w:spacing w:line="400" w:lineRule="exact"/>
        <w:outlineLvl w:val="1"/>
        <w:rPr>
          <w:rFonts w:hint="eastAsia" w:cs="宋体"/>
          <w:b/>
          <w:color w:val="auto"/>
          <w:sz w:val="24"/>
        </w:rPr>
      </w:pPr>
      <w:bookmarkStart w:id="100" w:name="_Toc4818"/>
      <w:r>
        <w:rPr>
          <w:rFonts w:hint="eastAsia" w:cs="宋体"/>
          <w:b/>
          <w:color w:val="auto"/>
          <w:sz w:val="24"/>
        </w:rPr>
        <w:t>一、资格审查及符合性审查</w:t>
      </w:r>
      <w:bookmarkEnd w:id="94"/>
      <w:bookmarkEnd w:id="95"/>
      <w:bookmarkEnd w:id="96"/>
      <w:bookmarkEnd w:id="97"/>
      <w:bookmarkEnd w:id="98"/>
      <w:bookmarkEnd w:id="99"/>
      <w:bookmarkEnd w:id="100"/>
    </w:p>
    <w:p w14:paraId="2EFBDE11">
      <w:pPr>
        <w:snapToGrid w:val="0"/>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rPr>
        <w:t>根据采购邀请文件中的竞选人资格要求对竞选进行资格审查，若未通过资格审查的采购文件，竞选人不得继续参与后续采购活动，竞选文件不得进入评审环节。</w:t>
      </w:r>
    </w:p>
    <w:p w14:paraId="4DDD785C">
      <w:pPr>
        <w:spacing w:line="400" w:lineRule="exact"/>
        <w:outlineLvl w:val="1"/>
        <w:rPr>
          <w:rFonts w:hint="eastAsia" w:cs="宋体"/>
          <w:b/>
          <w:color w:val="auto"/>
          <w:sz w:val="24"/>
        </w:rPr>
      </w:pPr>
      <w:bookmarkStart w:id="101" w:name="_Toc2900"/>
      <w:bookmarkStart w:id="102" w:name="_Toc5251"/>
      <w:bookmarkStart w:id="103" w:name="_Toc16925"/>
      <w:bookmarkStart w:id="104" w:name="_Toc8546"/>
      <w:bookmarkStart w:id="105" w:name="_Toc30068"/>
      <w:bookmarkStart w:id="106" w:name="_Toc76373889"/>
    </w:p>
    <w:p w14:paraId="4E6C52C8">
      <w:pPr>
        <w:numPr>
          <w:ilvl w:val="0"/>
          <w:numId w:val="0"/>
        </w:numPr>
        <w:spacing w:line="400" w:lineRule="exact"/>
        <w:outlineLvl w:val="1"/>
        <w:rPr>
          <w:rFonts w:hint="eastAsia" w:cs="宋体"/>
          <w:b/>
          <w:color w:val="auto"/>
          <w:sz w:val="24"/>
        </w:rPr>
      </w:pPr>
      <w:bookmarkStart w:id="107" w:name="_Toc13294"/>
      <w:r>
        <w:rPr>
          <w:rFonts w:hint="eastAsia" w:cs="宋体"/>
          <w:b/>
          <w:color w:val="auto"/>
          <w:sz w:val="24"/>
          <w:lang w:val="en-US" w:eastAsia="zh-CN"/>
        </w:rPr>
        <w:t>二</w:t>
      </w:r>
      <w:r>
        <w:rPr>
          <w:rFonts w:hint="eastAsia" w:cs="宋体"/>
          <w:b/>
          <w:color w:val="auto"/>
          <w:sz w:val="24"/>
          <w:lang w:eastAsia="zh-CN"/>
        </w:rPr>
        <w:t>、</w:t>
      </w:r>
      <w:r>
        <w:rPr>
          <w:rFonts w:hint="eastAsia" w:cs="宋体"/>
          <w:b/>
          <w:color w:val="auto"/>
          <w:sz w:val="24"/>
        </w:rPr>
        <w:t>无效竞选条款</w:t>
      </w:r>
      <w:bookmarkEnd w:id="101"/>
      <w:bookmarkEnd w:id="102"/>
      <w:bookmarkEnd w:id="103"/>
      <w:bookmarkEnd w:id="104"/>
      <w:bookmarkEnd w:id="105"/>
      <w:bookmarkEnd w:id="106"/>
      <w:bookmarkEnd w:id="107"/>
    </w:p>
    <w:p w14:paraId="2E4E92AF">
      <w:pPr>
        <w:snapToGrid w:val="0"/>
        <w:spacing w:line="400" w:lineRule="exact"/>
        <w:ind w:firstLine="480" w:firstLineChars="200"/>
        <w:rPr>
          <w:rFonts w:hint="eastAsia" w:ascii="宋体" w:hAnsi="宋体" w:eastAsia="宋体" w:cs="宋体"/>
          <w:color w:val="auto"/>
          <w:sz w:val="24"/>
          <w:szCs w:val="24"/>
        </w:rPr>
      </w:pPr>
      <w:bookmarkStart w:id="108" w:name="_Toc28228"/>
      <w:r>
        <w:rPr>
          <w:rFonts w:hint="eastAsia" w:ascii="宋体" w:hAnsi="宋体" w:eastAsia="宋体" w:cs="宋体"/>
          <w:color w:val="auto"/>
          <w:sz w:val="24"/>
          <w:szCs w:val="24"/>
        </w:rPr>
        <w:t>竞选人或其竞选文件出现下列情况之一者，经评审专家组讨论后，可</w:t>
      </w:r>
      <w:r>
        <w:rPr>
          <w:rFonts w:hint="eastAsia" w:ascii="宋体" w:hAnsi="宋体" w:cs="宋体"/>
          <w:color w:val="auto"/>
          <w:sz w:val="24"/>
          <w:szCs w:val="24"/>
          <w:lang w:val="en-US" w:eastAsia="zh-CN"/>
        </w:rPr>
        <w:t>认定为</w:t>
      </w:r>
      <w:r>
        <w:rPr>
          <w:rFonts w:hint="eastAsia" w:ascii="宋体" w:hAnsi="宋体" w:eastAsia="宋体" w:cs="宋体"/>
          <w:color w:val="auto"/>
          <w:sz w:val="24"/>
          <w:szCs w:val="24"/>
        </w:rPr>
        <w:t>无效竞选：</w:t>
      </w:r>
      <w:bookmarkEnd w:id="108"/>
    </w:p>
    <w:p w14:paraId="185DECC0">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未按照采购文件制作竞选文件，在技术与服务需求中提供的支撑材料不符的；</w:t>
      </w:r>
    </w:p>
    <w:p w14:paraId="79EBA25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5FFB007E">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785462D2">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21A3AFCE">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196EE3A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3B392772">
      <w:pPr>
        <w:spacing w:line="400" w:lineRule="exact"/>
        <w:outlineLvl w:val="1"/>
        <w:rPr>
          <w:rFonts w:hint="eastAsia" w:cs="宋体"/>
          <w:b/>
          <w:color w:val="auto"/>
          <w:sz w:val="24"/>
        </w:rPr>
      </w:pPr>
      <w:bookmarkStart w:id="109" w:name="_Toc76373890"/>
      <w:bookmarkStart w:id="110" w:name="_Toc20034"/>
      <w:bookmarkStart w:id="111" w:name="_Toc27443"/>
      <w:bookmarkStart w:id="112" w:name="_Toc11342"/>
      <w:bookmarkStart w:id="113" w:name="_Toc26071"/>
      <w:bookmarkStart w:id="114" w:name="_Toc11654"/>
      <w:r>
        <w:rPr>
          <w:rFonts w:hint="eastAsia" w:cs="宋体"/>
          <w:b/>
          <w:color w:val="auto"/>
          <w:sz w:val="24"/>
          <w:lang w:val="en-US" w:eastAsia="zh-CN"/>
        </w:rPr>
        <w:t>三</w:t>
      </w:r>
      <w:r>
        <w:rPr>
          <w:rFonts w:hint="eastAsia" w:cs="宋体"/>
          <w:b/>
          <w:color w:val="auto"/>
          <w:sz w:val="24"/>
          <w:lang w:eastAsia="zh-CN"/>
        </w:rPr>
        <w:t>、</w:t>
      </w:r>
      <w:r>
        <w:rPr>
          <w:rFonts w:hint="eastAsia" w:cs="宋体"/>
          <w:b/>
          <w:color w:val="auto"/>
          <w:sz w:val="24"/>
        </w:rPr>
        <w:t>废标条款</w:t>
      </w:r>
      <w:bookmarkEnd w:id="109"/>
      <w:bookmarkEnd w:id="110"/>
      <w:bookmarkEnd w:id="111"/>
      <w:bookmarkEnd w:id="112"/>
      <w:bookmarkEnd w:id="113"/>
      <w:bookmarkEnd w:id="114"/>
    </w:p>
    <w:p w14:paraId="1C1F690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16FE539C">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770BB443">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08A1AD9D">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71350405">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15" w:name="_Toc10547"/>
      <w:bookmarkStart w:id="116" w:name="_Toc10864"/>
      <w:bookmarkStart w:id="117" w:name="_Toc25199"/>
      <w:bookmarkStart w:id="118" w:name="_Toc20391"/>
      <w:bookmarkStart w:id="119" w:name="_Toc76373891"/>
      <w:bookmarkStart w:id="120" w:name="_Toc27646"/>
      <w:r>
        <w:rPr>
          <w:rFonts w:hint="eastAsia" w:ascii="宋体" w:hAnsi="宋体" w:cs="宋体"/>
          <w:b/>
          <w:color w:val="auto"/>
          <w:szCs w:val="36"/>
        </w:rPr>
        <w:t xml:space="preserve">第四篇  </w:t>
      </w:r>
      <w:bookmarkStart w:id="121" w:name="_Toc349642178"/>
      <w:bookmarkStart w:id="122" w:name="_Toc258354120"/>
      <w:r>
        <w:rPr>
          <w:rFonts w:hint="eastAsia" w:ascii="宋体" w:hAnsi="宋体" w:cs="宋体"/>
          <w:b/>
          <w:bCs/>
          <w:color w:val="auto"/>
          <w:kern w:val="36"/>
          <w:sz w:val="32"/>
          <w:szCs w:val="21"/>
        </w:rPr>
        <w:t>中选通知及合同</w:t>
      </w:r>
      <w:bookmarkEnd w:id="121"/>
      <w:bookmarkEnd w:id="122"/>
      <w:r>
        <w:rPr>
          <w:rFonts w:hint="eastAsia" w:ascii="宋体" w:hAnsi="宋体" w:cs="宋体"/>
          <w:b/>
          <w:bCs/>
          <w:color w:val="auto"/>
          <w:kern w:val="36"/>
          <w:sz w:val="32"/>
          <w:szCs w:val="21"/>
        </w:rPr>
        <w:t>签订</w:t>
      </w:r>
      <w:bookmarkEnd w:id="115"/>
    </w:p>
    <w:bookmarkEnd w:id="116"/>
    <w:bookmarkEnd w:id="117"/>
    <w:bookmarkEnd w:id="118"/>
    <w:bookmarkEnd w:id="119"/>
    <w:bookmarkEnd w:id="120"/>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23" w:name="_Toc27709"/>
      <w:r>
        <w:rPr>
          <w:rFonts w:hint="eastAsia" w:ascii="宋体" w:hAnsi="宋体" w:cs="宋体"/>
          <w:b/>
          <w:bCs/>
          <w:color w:val="auto"/>
          <w:sz w:val="24"/>
          <w:szCs w:val="24"/>
        </w:rPr>
        <w:t>一</w:t>
      </w:r>
      <w:r>
        <w:rPr>
          <w:rFonts w:hint="eastAsia" w:cs="宋体"/>
          <w:b/>
          <w:color w:val="auto"/>
          <w:sz w:val="24"/>
        </w:rPr>
        <w:t>、中选通知</w:t>
      </w:r>
      <w:bookmarkEnd w:id="123"/>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24" w:name="_Toc29342"/>
      <w:r>
        <w:rPr>
          <w:rFonts w:hint="eastAsia" w:ascii="宋体" w:hAnsi="宋体" w:cs="宋体"/>
          <w:b/>
          <w:bCs/>
          <w:color w:val="auto"/>
          <w:sz w:val="24"/>
          <w:szCs w:val="24"/>
        </w:rPr>
        <w:t>二、</w:t>
      </w:r>
      <w:bookmarkStart w:id="125"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24"/>
      <w:bookmarkEnd w:id="125"/>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26" w:name="_Toc23535"/>
      <w:r>
        <w:rPr>
          <w:rFonts w:hint="eastAsia" w:ascii="宋体" w:hAnsi="宋体" w:cs="宋体"/>
          <w:b/>
          <w:bCs/>
          <w:color w:val="auto"/>
          <w:sz w:val="24"/>
          <w:szCs w:val="24"/>
        </w:rPr>
        <w:t>三、合同协议书的签订</w:t>
      </w:r>
      <w:bookmarkEnd w:id="126"/>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27" w:name="_Toc10698"/>
      <w:r>
        <w:rPr>
          <w:rFonts w:hint="eastAsia" w:ascii="宋体" w:hAnsi="宋体" w:cs="宋体"/>
          <w:b/>
          <w:bCs/>
          <w:color w:val="auto"/>
          <w:sz w:val="24"/>
          <w:szCs w:val="24"/>
        </w:rPr>
        <w:t>四、其它</w:t>
      </w:r>
      <w:bookmarkEnd w:id="127"/>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28" w:name="_Toc2975"/>
      <w:bookmarkStart w:id="129" w:name="_Toc76373904"/>
      <w:bookmarkStart w:id="130" w:name="_Toc10152"/>
      <w:bookmarkStart w:id="131" w:name="_Toc19409"/>
      <w:bookmarkStart w:id="132" w:name="_Toc24088"/>
      <w:bookmarkStart w:id="133" w:name="_Toc20762"/>
      <w:r>
        <w:rPr>
          <w:rFonts w:hint="eastAsia" w:ascii="宋体" w:hAnsi="宋体" w:cs="宋体"/>
          <w:b/>
          <w:color w:val="auto"/>
          <w:szCs w:val="36"/>
        </w:rPr>
        <w:br w:type="column"/>
      </w:r>
      <w:bookmarkEnd w:id="128"/>
      <w:bookmarkEnd w:id="129"/>
      <w:bookmarkEnd w:id="130"/>
      <w:bookmarkEnd w:id="131"/>
      <w:bookmarkEnd w:id="132"/>
      <w:bookmarkEnd w:id="133"/>
    </w:p>
    <w:p w14:paraId="36603897">
      <w:pPr>
        <w:tabs>
          <w:tab w:val="left" w:pos="3360"/>
        </w:tabs>
        <w:spacing w:line="360" w:lineRule="auto"/>
        <w:jc w:val="center"/>
        <w:outlineLvl w:val="0"/>
        <w:rPr>
          <w:rFonts w:hint="eastAsia" w:ascii="宋体" w:hAnsi="宋体" w:cs="宋体"/>
          <w:b/>
          <w:color w:val="auto"/>
          <w:sz w:val="32"/>
          <w:szCs w:val="40"/>
        </w:rPr>
      </w:pPr>
      <w:bookmarkStart w:id="134" w:name="_Toc7750"/>
      <w:bookmarkStart w:id="135" w:name="_Toc76373907"/>
      <w:bookmarkStart w:id="136" w:name="_Toc12863"/>
      <w:bookmarkStart w:id="137" w:name="_Toc25920"/>
      <w:bookmarkStart w:id="138" w:name="_Toc16112"/>
      <w:bookmarkStart w:id="139" w:name="_Toc11892"/>
      <w:bookmarkStart w:id="140" w:name="_Toc11763"/>
      <w:r>
        <w:rPr>
          <w:rFonts w:hint="eastAsia" w:ascii="宋体" w:hAnsi="宋体" w:cs="宋体"/>
          <w:b/>
          <w:color w:val="auto"/>
          <w:sz w:val="32"/>
          <w:szCs w:val="40"/>
        </w:rPr>
        <w:t>第五篇  采购文件格式</w:t>
      </w:r>
      <w:bookmarkEnd w:id="134"/>
      <w:bookmarkEnd w:id="135"/>
      <w:bookmarkEnd w:id="136"/>
      <w:bookmarkEnd w:id="137"/>
      <w:bookmarkEnd w:id="138"/>
      <w:bookmarkEnd w:id="139"/>
      <w:bookmarkEnd w:id="140"/>
    </w:p>
    <w:p w14:paraId="4E1E8451">
      <w:pPr>
        <w:spacing w:line="400" w:lineRule="exact"/>
        <w:ind w:firstLine="482" w:firstLineChars="200"/>
        <w:rPr>
          <w:rFonts w:hint="eastAsia" w:ascii="宋体" w:hAnsi="宋体" w:cs="宋体"/>
          <w:b/>
          <w:bCs/>
          <w:color w:val="auto"/>
          <w:sz w:val="24"/>
          <w:szCs w:val="24"/>
        </w:rPr>
      </w:pPr>
      <w:bookmarkStart w:id="141"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1"/>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一</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）专用设备报价表(</w:t>
      </w:r>
      <w:bookmarkStart w:id="142" w:name="OLE_LINK14"/>
      <w:r>
        <w:rPr>
          <w:rFonts w:hint="eastAsia" w:ascii="宋体" w:hAnsi="宋体" w:eastAsia="宋体" w:cs="宋体"/>
          <w:color w:val="auto"/>
          <w:kern w:val="2"/>
          <w:sz w:val="24"/>
          <w:szCs w:val="24"/>
          <w:lang w:val="en-US" w:eastAsia="zh-CN" w:bidi="ar-SA"/>
        </w:rPr>
        <w:t>如</w:t>
      </w:r>
      <w:bookmarkEnd w:id="142"/>
      <w:r>
        <w:rPr>
          <w:rFonts w:hint="eastAsia" w:ascii="宋体" w:hAnsi="宋体" w:eastAsia="宋体" w:cs="宋体"/>
          <w:color w:val="auto"/>
          <w:kern w:val="2"/>
          <w:sz w:val="24"/>
          <w:szCs w:val="24"/>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bookmarkStart w:id="143" w:name="OLE_LINK13"/>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）耗材专用设备零配件报价表(如有)</w:t>
      </w:r>
      <w:bookmarkEnd w:id="143"/>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4" w:name="_Toc17664"/>
      <w:r>
        <w:rPr>
          <w:rFonts w:hint="eastAsia" w:ascii="宋体" w:hAnsi="宋体" w:cs="宋体"/>
          <w:b/>
          <w:bCs/>
          <w:color w:val="auto"/>
          <w:sz w:val="24"/>
          <w:szCs w:val="24"/>
        </w:rPr>
        <w:t>四、技术（质量）文件</w:t>
      </w:r>
      <w:bookmarkEnd w:id="144"/>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5" w:name="_Toc4012"/>
      <w:bookmarkStart w:id="146" w:name="_Toc24824"/>
      <w:r>
        <w:rPr>
          <w:rFonts w:hint="eastAsia" w:ascii="宋体" w:hAnsi="宋体" w:cs="宋体"/>
          <w:b/>
          <w:bCs/>
          <w:color w:val="auto"/>
          <w:sz w:val="24"/>
          <w:szCs w:val="24"/>
        </w:rPr>
        <w:t>五、</w:t>
      </w:r>
      <w:bookmarkEnd w:id="145"/>
      <w:r>
        <w:rPr>
          <w:rFonts w:hint="eastAsia" w:ascii="宋体" w:hAnsi="宋体" w:cs="宋体"/>
          <w:b/>
          <w:bCs/>
          <w:color w:val="auto"/>
          <w:sz w:val="24"/>
          <w:szCs w:val="24"/>
        </w:rPr>
        <w:t>商务文件</w:t>
      </w:r>
      <w:bookmarkEnd w:id="146"/>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7" w:name="_Toc6185"/>
      <w:r>
        <w:rPr>
          <w:rFonts w:hint="eastAsia" w:cs="宋体"/>
          <w:b/>
          <w:bCs/>
          <w:color w:val="auto"/>
          <w:sz w:val="24"/>
          <w:szCs w:val="24"/>
        </w:rPr>
        <w:t>六、</w:t>
      </w:r>
      <w:r>
        <w:rPr>
          <w:rFonts w:hint="eastAsia" w:ascii="宋体" w:hAnsi="宋体" w:cs="宋体"/>
          <w:b/>
          <w:bCs/>
          <w:color w:val="auto"/>
          <w:sz w:val="24"/>
          <w:szCs w:val="24"/>
        </w:rPr>
        <w:t>资格文件</w:t>
      </w:r>
      <w:bookmarkEnd w:id="147"/>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48" w:name="_Toc3094"/>
      <w:bookmarkStart w:id="149" w:name="_Toc10063"/>
      <w:bookmarkStart w:id="150" w:name="_Toc22827"/>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48"/>
      <w:bookmarkEnd w:id="149"/>
      <w:bookmarkEnd w:id="150"/>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69F73966">
      <w:pPr>
        <w:pageBreakBefore/>
        <w:spacing w:line="500" w:lineRule="exact"/>
        <w:outlineLvl w:val="1"/>
        <w:rPr>
          <w:rFonts w:hint="eastAsia" w:ascii="微软雅黑" w:hAnsi="微软雅黑" w:eastAsia="微软雅黑" w:cs="微软雅黑"/>
          <w:color w:val="auto"/>
          <w:sz w:val="24"/>
          <w:szCs w:val="24"/>
        </w:rPr>
      </w:pPr>
      <w:bookmarkStart w:id="151" w:name="OLE_LINK6"/>
      <w:bookmarkStart w:id="152" w:name="_Toc15483"/>
      <w:bookmarkStart w:id="153" w:name="OLE_LINK9"/>
      <w:r>
        <w:rPr>
          <w:rFonts w:hint="eastAsia" w:cs="宋体"/>
          <w:b/>
          <w:color w:val="auto"/>
          <w:szCs w:val="28"/>
          <w:lang w:eastAsia="zh-CN"/>
        </w:rPr>
        <w:t>一</w:t>
      </w:r>
      <w:r>
        <w:rPr>
          <w:rFonts w:hint="eastAsia" w:cs="宋体"/>
          <w:b/>
          <w:color w:val="auto"/>
          <w:szCs w:val="28"/>
        </w:rPr>
        <w:t>、</w:t>
      </w:r>
      <w:r>
        <w:rPr>
          <w:rFonts w:hint="eastAsia" w:cs="宋体"/>
          <w:b/>
          <w:color w:val="auto"/>
          <w:szCs w:val="28"/>
          <w:lang w:eastAsia="zh-CN"/>
        </w:rPr>
        <w:t>经济</w:t>
      </w:r>
      <w:r>
        <w:rPr>
          <w:rFonts w:hint="eastAsia" w:cs="宋体"/>
          <w:b/>
          <w:color w:val="auto"/>
          <w:szCs w:val="28"/>
        </w:rPr>
        <w:t>文件</w:t>
      </w:r>
      <w:bookmarkEnd w:id="151"/>
      <w:bookmarkEnd w:id="152"/>
      <w:bookmarkEnd w:id="153"/>
    </w:p>
    <w:p w14:paraId="2252A029">
      <w:pPr>
        <w:numPr>
          <w:ilvl w:val="0"/>
          <w:numId w:val="0"/>
        </w:numPr>
        <w:tabs>
          <w:tab w:val="left" w:pos="6300"/>
        </w:tabs>
        <w:snapToGrid w:val="0"/>
        <w:spacing w:line="312" w:lineRule="auto"/>
        <w:ind w:firstLine="480" w:firstLineChars="200"/>
        <w:rPr>
          <w:rFonts w:hint="eastAsia" w:ascii="宋体" w:hAnsi="宋体" w:eastAsia="宋体" w:cs="宋体"/>
          <w:color w:val="auto"/>
          <w:sz w:val="24"/>
          <w:szCs w:val="24"/>
        </w:rPr>
      </w:pPr>
      <w:bookmarkStart w:id="154" w:name="OLE_LINK10"/>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开标现场最终报价表</w:t>
      </w:r>
    </w:p>
    <w:bookmarkEnd w:id="154"/>
    <w:p w14:paraId="00B750FB">
      <w:pPr>
        <w:pStyle w:val="2"/>
        <w:numPr>
          <w:ilvl w:val="0"/>
          <w:numId w:val="0"/>
        </w:numPr>
        <w:rPr>
          <w:rFonts w:hint="eastAsia" w:ascii="宋体" w:hAnsi="宋体" w:eastAsia="宋体" w:cs="宋体"/>
          <w:color w:val="auto"/>
          <w:sz w:val="24"/>
          <w:szCs w:val="24"/>
          <w:lang w:eastAsia="zh-CN"/>
        </w:rPr>
      </w:pPr>
      <w:r>
        <w:rPr>
          <w:rFonts w:hint="eastAsia"/>
          <w:color w:val="auto"/>
          <w:lang w:val="en-US" w:eastAsia="zh-CN"/>
        </w:rPr>
        <w:t xml:space="preserve">     注：</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r>
        <w:rPr>
          <w:rFonts w:hint="default" w:ascii="宋体" w:hAnsi="宋体" w:eastAsia="宋体" w:cs="宋体"/>
          <w:color w:val="auto"/>
          <w:sz w:val="24"/>
          <w:szCs w:val="24"/>
        </w:rPr>
        <w:t>与报名时提交的“耗材报名表”的中载明的产品信息（含产品注册证名称、规格型号、顺序等）保持一致</w:t>
      </w:r>
      <w:r>
        <w:rPr>
          <w:rFonts w:hint="eastAsia" w:ascii="宋体" w:hAnsi="宋体" w:eastAsia="宋体" w:cs="宋体"/>
          <w:color w:val="auto"/>
          <w:sz w:val="24"/>
          <w:szCs w:val="24"/>
          <w:lang w:eastAsia="zh-CN"/>
        </w:rPr>
        <w:t>。</w:t>
      </w:r>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sz w:val="24"/>
          <w:szCs w:val="24"/>
        </w:rPr>
        <w:t>开标现场最终报价表</w:t>
      </w:r>
      <w:r>
        <w:rPr>
          <w:rFonts w:hint="eastAsia" w:ascii="宋体" w:hAnsi="宋体" w:eastAsia="宋体" w:cs="宋体"/>
          <w:b/>
          <w:bCs/>
          <w:color w:val="auto"/>
          <w:sz w:val="24"/>
          <w:szCs w:val="24"/>
          <w:lang w:val="en-US" w:eastAsia="zh-CN"/>
        </w:rPr>
        <w:t>”除了报价现场填写，其他信息电子文档填写后打印做到标书里面。</w:t>
      </w:r>
    </w:p>
    <w:p w14:paraId="2BA364B6">
      <w:pPr>
        <w:rPr>
          <w:rFonts w:hint="default"/>
          <w:color w:val="auto"/>
          <w:lang w:val="en-US" w:eastAsia="zh-CN"/>
        </w:rPr>
      </w:pPr>
    </w:p>
    <w:p w14:paraId="54BD531C">
      <w:pPr>
        <w:jc w:val="center"/>
        <w:rPr>
          <w:rFonts w:hint="eastAsia" w:ascii="宋体" w:hAnsi="宋体" w:eastAsia="宋体" w:cs="宋体"/>
          <w:color w:val="auto"/>
          <w:sz w:val="36"/>
          <w:szCs w:val="36"/>
        </w:rPr>
      </w:pPr>
      <w:bookmarkStart w:id="155" w:name="OLE_LINK5"/>
      <w:r>
        <w:rPr>
          <w:rFonts w:hint="eastAsia" w:ascii="宋体" w:hAnsi="宋体" w:eastAsia="宋体" w:cs="宋体"/>
          <w:b/>
          <w:color w:val="auto"/>
          <w:sz w:val="36"/>
          <w:szCs w:val="36"/>
        </w:rPr>
        <w:t>开标现场最终报价表</w:t>
      </w:r>
      <w:bookmarkEnd w:id="155"/>
    </w:p>
    <w:p w14:paraId="69F5D796">
      <w:pPr>
        <w:tabs>
          <w:tab w:val="left" w:pos="6300"/>
        </w:tabs>
        <w:snapToGrid w:val="0"/>
        <w:spacing w:line="312" w:lineRule="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70"/>
        <w:gridCol w:w="1235"/>
        <w:gridCol w:w="1347"/>
        <w:gridCol w:w="1340"/>
        <w:gridCol w:w="1091"/>
        <w:gridCol w:w="709"/>
        <w:gridCol w:w="2174"/>
        <w:gridCol w:w="776"/>
        <w:gridCol w:w="1529"/>
        <w:gridCol w:w="1560"/>
        <w:gridCol w:w="684"/>
      </w:tblGrid>
      <w:tr w14:paraId="2DD6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5" w:type="dxa"/>
            <w:noWrap w:val="0"/>
            <w:vAlign w:val="center"/>
          </w:tcPr>
          <w:p w14:paraId="3C73566B">
            <w:pPr>
              <w:jc w:val="center"/>
              <w:rPr>
                <w:rFonts w:hint="eastAsia" w:ascii="宋体" w:hAnsi="宋体" w:eastAsia="宋体" w:cs="宋体"/>
                <w:b w:val="0"/>
                <w:bCs/>
                <w:color w:val="auto"/>
                <w:kern w:val="2"/>
                <w:sz w:val="28"/>
                <w:szCs w:val="28"/>
                <w:lang w:val="de-DE" w:eastAsia="zh-CN" w:bidi="ar-SA"/>
              </w:rPr>
            </w:pPr>
            <w:r>
              <w:rPr>
                <w:rFonts w:hint="eastAsia" w:ascii="宋体" w:hAnsi="宋体" w:eastAsia="宋体" w:cs="宋体"/>
                <w:b w:val="0"/>
                <w:bCs/>
                <w:color w:val="auto"/>
                <w:sz w:val="28"/>
                <w:szCs w:val="28"/>
                <w:lang w:val="de-DE" w:eastAsia="zh-CN"/>
              </w:rPr>
              <w:t>序号</w:t>
            </w:r>
          </w:p>
        </w:tc>
        <w:tc>
          <w:tcPr>
            <w:tcW w:w="870" w:type="dxa"/>
            <w:noWrap w:val="0"/>
            <w:vAlign w:val="center"/>
          </w:tcPr>
          <w:p w14:paraId="75378296">
            <w:pPr>
              <w:jc w:val="center"/>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sz w:val="28"/>
                <w:szCs w:val="28"/>
                <w:lang w:eastAsia="zh-CN"/>
              </w:rPr>
              <w:t>国家医保编码</w:t>
            </w:r>
          </w:p>
        </w:tc>
        <w:tc>
          <w:tcPr>
            <w:tcW w:w="1235" w:type="dxa"/>
            <w:noWrap w:val="0"/>
            <w:vAlign w:val="center"/>
          </w:tcPr>
          <w:p w14:paraId="44175F8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w:t>
            </w:r>
            <w:r>
              <w:rPr>
                <w:rFonts w:hint="eastAsia" w:ascii="宋体" w:hAnsi="宋体" w:eastAsia="宋体" w:cs="宋体"/>
                <w:b w:val="0"/>
                <w:bCs/>
                <w:color w:val="auto"/>
                <w:sz w:val="28"/>
                <w:szCs w:val="28"/>
                <w:lang w:val="de-DE"/>
              </w:rPr>
              <w:t>注册证名称</w:t>
            </w:r>
          </w:p>
        </w:tc>
        <w:tc>
          <w:tcPr>
            <w:tcW w:w="1347" w:type="dxa"/>
            <w:noWrap w:val="0"/>
            <w:vAlign w:val="center"/>
          </w:tcPr>
          <w:p w14:paraId="3D82C23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医疗器械注册证号/有效期</w:t>
            </w:r>
          </w:p>
        </w:tc>
        <w:tc>
          <w:tcPr>
            <w:tcW w:w="1340" w:type="dxa"/>
            <w:noWrap w:val="0"/>
            <w:vAlign w:val="center"/>
          </w:tcPr>
          <w:p w14:paraId="5FEEFA84">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规格型号</w:t>
            </w:r>
          </w:p>
        </w:tc>
        <w:tc>
          <w:tcPr>
            <w:tcW w:w="1091" w:type="dxa"/>
            <w:noWrap w:val="0"/>
            <w:vAlign w:val="center"/>
          </w:tcPr>
          <w:p w14:paraId="6D930D4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生产厂家</w:t>
            </w:r>
          </w:p>
        </w:tc>
        <w:tc>
          <w:tcPr>
            <w:tcW w:w="709" w:type="dxa"/>
            <w:noWrap w:val="0"/>
            <w:vAlign w:val="center"/>
          </w:tcPr>
          <w:p w14:paraId="4FBB37AC">
            <w:pPr>
              <w:ind w:right="-207" w:rightChars="-74"/>
              <w:jc w:val="both"/>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产地</w:t>
            </w:r>
          </w:p>
        </w:tc>
        <w:tc>
          <w:tcPr>
            <w:tcW w:w="2174" w:type="dxa"/>
            <w:noWrap w:val="0"/>
            <w:vAlign w:val="center"/>
          </w:tcPr>
          <w:p w14:paraId="388E7336">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药交所平台挂网最低价/计价单位</w:t>
            </w:r>
          </w:p>
        </w:tc>
        <w:tc>
          <w:tcPr>
            <w:tcW w:w="776" w:type="dxa"/>
            <w:noWrap w:val="0"/>
            <w:vAlign w:val="center"/>
          </w:tcPr>
          <w:p w14:paraId="4743BD5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计数单位</w:t>
            </w:r>
          </w:p>
        </w:tc>
        <w:tc>
          <w:tcPr>
            <w:tcW w:w="1529" w:type="dxa"/>
            <w:noWrap w:val="0"/>
            <w:vAlign w:val="center"/>
          </w:tcPr>
          <w:p w14:paraId="4BF3BDA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线上报</w:t>
            </w:r>
            <w:r>
              <w:rPr>
                <w:rFonts w:hint="eastAsia" w:ascii="宋体" w:hAnsi="宋体" w:eastAsia="宋体" w:cs="宋体"/>
                <w:b w:val="0"/>
                <w:bCs/>
                <w:color w:val="auto"/>
                <w:sz w:val="28"/>
                <w:szCs w:val="28"/>
              </w:rPr>
              <w:t>价</w:t>
            </w:r>
          </w:p>
          <w:p w14:paraId="09743CDA">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（元）</w:t>
            </w:r>
          </w:p>
        </w:tc>
        <w:tc>
          <w:tcPr>
            <w:tcW w:w="1560" w:type="dxa"/>
            <w:noWrap w:val="0"/>
            <w:vAlign w:val="center"/>
          </w:tcPr>
          <w:p w14:paraId="1CB099B9">
            <w:pPr>
              <w:jc w:val="center"/>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备案采购报价（元）</w:t>
            </w:r>
          </w:p>
        </w:tc>
        <w:tc>
          <w:tcPr>
            <w:tcW w:w="684" w:type="dxa"/>
            <w:noWrap w:val="0"/>
            <w:vAlign w:val="center"/>
          </w:tcPr>
          <w:p w14:paraId="5C8835A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备注</w:t>
            </w:r>
          </w:p>
        </w:tc>
      </w:tr>
      <w:tr w14:paraId="3296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5F83958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2AA3425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5E3B052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4395D84">
            <w:pPr>
              <w:spacing w:line="480" w:lineRule="auto"/>
              <w:jc w:val="center"/>
              <w:rPr>
                <w:rFonts w:hint="eastAsia" w:ascii="宋体" w:hAnsi="宋体" w:eastAsia="宋体" w:cs="宋体"/>
                <w:color w:val="auto"/>
                <w:sz w:val="28"/>
                <w:szCs w:val="28"/>
              </w:rPr>
            </w:pPr>
          </w:p>
        </w:tc>
        <w:tc>
          <w:tcPr>
            <w:tcW w:w="1340" w:type="dxa"/>
            <w:noWrap w:val="0"/>
            <w:vAlign w:val="center"/>
          </w:tcPr>
          <w:p w14:paraId="261D7ECD">
            <w:pPr>
              <w:spacing w:line="480" w:lineRule="auto"/>
              <w:jc w:val="center"/>
              <w:rPr>
                <w:rFonts w:hint="eastAsia" w:ascii="宋体" w:hAnsi="宋体" w:eastAsia="宋体" w:cs="宋体"/>
                <w:color w:val="auto"/>
                <w:sz w:val="28"/>
                <w:szCs w:val="28"/>
              </w:rPr>
            </w:pPr>
          </w:p>
        </w:tc>
        <w:tc>
          <w:tcPr>
            <w:tcW w:w="1091" w:type="dxa"/>
            <w:noWrap w:val="0"/>
            <w:vAlign w:val="center"/>
          </w:tcPr>
          <w:p w14:paraId="4578F0A9">
            <w:pPr>
              <w:spacing w:line="480" w:lineRule="auto"/>
              <w:jc w:val="center"/>
              <w:rPr>
                <w:rFonts w:hint="eastAsia" w:ascii="宋体" w:hAnsi="宋体" w:eastAsia="宋体" w:cs="宋体"/>
                <w:color w:val="auto"/>
                <w:sz w:val="28"/>
                <w:szCs w:val="28"/>
              </w:rPr>
            </w:pPr>
          </w:p>
        </w:tc>
        <w:tc>
          <w:tcPr>
            <w:tcW w:w="709" w:type="dxa"/>
            <w:noWrap w:val="0"/>
            <w:vAlign w:val="center"/>
          </w:tcPr>
          <w:p w14:paraId="12EE9123">
            <w:pPr>
              <w:spacing w:line="480" w:lineRule="auto"/>
              <w:jc w:val="center"/>
              <w:rPr>
                <w:rFonts w:hint="eastAsia" w:ascii="宋体" w:hAnsi="宋体" w:eastAsia="宋体" w:cs="宋体"/>
                <w:color w:val="auto"/>
                <w:sz w:val="28"/>
                <w:szCs w:val="28"/>
              </w:rPr>
            </w:pPr>
          </w:p>
        </w:tc>
        <w:tc>
          <w:tcPr>
            <w:tcW w:w="2174" w:type="dxa"/>
            <w:noWrap w:val="0"/>
            <w:vAlign w:val="center"/>
          </w:tcPr>
          <w:p w14:paraId="7C7D3E97">
            <w:pPr>
              <w:spacing w:line="480" w:lineRule="auto"/>
              <w:jc w:val="center"/>
              <w:rPr>
                <w:rFonts w:hint="eastAsia" w:ascii="宋体" w:hAnsi="宋体" w:eastAsia="宋体" w:cs="宋体"/>
                <w:color w:val="auto"/>
                <w:sz w:val="28"/>
                <w:szCs w:val="28"/>
              </w:rPr>
            </w:pPr>
          </w:p>
        </w:tc>
        <w:tc>
          <w:tcPr>
            <w:tcW w:w="776" w:type="dxa"/>
            <w:noWrap w:val="0"/>
            <w:vAlign w:val="center"/>
          </w:tcPr>
          <w:p w14:paraId="4D5C5042">
            <w:pPr>
              <w:spacing w:line="480" w:lineRule="auto"/>
              <w:jc w:val="center"/>
              <w:rPr>
                <w:rFonts w:hint="eastAsia" w:ascii="宋体" w:hAnsi="宋体" w:eastAsia="宋体" w:cs="宋体"/>
                <w:color w:val="auto"/>
                <w:sz w:val="28"/>
                <w:szCs w:val="28"/>
              </w:rPr>
            </w:pPr>
          </w:p>
        </w:tc>
        <w:tc>
          <w:tcPr>
            <w:tcW w:w="1529" w:type="dxa"/>
            <w:noWrap w:val="0"/>
            <w:vAlign w:val="center"/>
          </w:tcPr>
          <w:p w14:paraId="2FCFFF88">
            <w:pPr>
              <w:spacing w:line="480" w:lineRule="auto"/>
              <w:jc w:val="center"/>
              <w:rPr>
                <w:rFonts w:hint="eastAsia" w:ascii="宋体" w:hAnsi="宋体" w:eastAsia="宋体" w:cs="宋体"/>
                <w:color w:val="auto"/>
                <w:sz w:val="28"/>
                <w:szCs w:val="28"/>
              </w:rPr>
            </w:pPr>
          </w:p>
        </w:tc>
        <w:tc>
          <w:tcPr>
            <w:tcW w:w="1560" w:type="dxa"/>
            <w:noWrap w:val="0"/>
            <w:vAlign w:val="center"/>
          </w:tcPr>
          <w:p w14:paraId="501DF467">
            <w:pPr>
              <w:spacing w:line="480" w:lineRule="auto"/>
              <w:jc w:val="center"/>
              <w:rPr>
                <w:rFonts w:hint="eastAsia" w:ascii="宋体" w:hAnsi="宋体" w:eastAsia="宋体" w:cs="宋体"/>
                <w:color w:val="auto"/>
                <w:sz w:val="28"/>
                <w:szCs w:val="28"/>
              </w:rPr>
            </w:pPr>
          </w:p>
        </w:tc>
        <w:tc>
          <w:tcPr>
            <w:tcW w:w="684" w:type="dxa"/>
            <w:noWrap w:val="0"/>
            <w:vAlign w:val="center"/>
          </w:tcPr>
          <w:p w14:paraId="32553FA0">
            <w:pPr>
              <w:spacing w:line="480" w:lineRule="auto"/>
              <w:jc w:val="center"/>
              <w:rPr>
                <w:rFonts w:hint="eastAsia" w:ascii="宋体" w:hAnsi="宋体" w:eastAsia="宋体" w:cs="宋体"/>
                <w:color w:val="auto"/>
                <w:sz w:val="28"/>
                <w:szCs w:val="28"/>
              </w:rPr>
            </w:pPr>
          </w:p>
        </w:tc>
      </w:tr>
      <w:tr w14:paraId="6F31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4E54FDF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5BB4F60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6EE39792">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87DFF3C">
            <w:pPr>
              <w:spacing w:line="480" w:lineRule="auto"/>
              <w:jc w:val="center"/>
              <w:rPr>
                <w:rFonts w:hint="eastAsia" w:ascii="宋体" w:hAnsi="宋体" w:eastAsia="宋体" w:cs="宋体"/>
                <w:color w:val="auto"/>
                <w:sz w:val="28"/>
                <w:szCs w:val="28"/>
              </w:rPr>
            </w:pPr>
          </w:p>
        </w:tc>
        <w:tc>
          <w:tcPr>
            <w:tcW w:w="1340" w:type="dxa"/>
            <w:noWrap w:val="0"/>
            <w:vAlign w:val="center"/>
          </w:tcPr>
          <w:p w14:paraId="2C4731B2">
            <w:pPr>
              <w:spacing w:line="480" w:lineRule="auto"/>
              <w:jc w:val="center"/>
              <w:rPr>
                <w:rFonts w:hint="eastAsia" w:ascii="宋体" w:hAnsi="宋体" w:eastAsia="宋体" w:cs="宋体"/>
                <w:color w:val="auto"/>
                <w:sz w:val="28"/>
                <w:szCs w:val="28"/>
              </w:rPr>
            </w:pPr>
          </w:p>
        </w:tc>
        <w:tc>
          <w:tcPr>
            <w:tcW w:w="1091" w:type="dxa"/>
            <w:noWrap w:val="0"/>
            <w:vAlign w:val="center"/>
          </w:tcPr>
          <w:p w14:paraId="22AF67D2">
            <w:pPr>
              <w:spacing w:line="480" w:lineRule="auto"/>
              <w:jc w:val="center"/>
              <w:rPr>
                <w:rFonts w:hint="eastAsia" w:ascii="宋体" w:hAnsi="宋体" w:eastAsia="宋体" w:cs="宋体"/>
                <w:color w:val="auto"/>
                <w:sz w:val="28"/>
                <w:szCs w:val="28"/>
              </w:rPr>
            </w:pPr>
          </w:p>
        </w:tc>
        <w:tc>
          <w:tcPr>
            <w:tcW w:w="709" w:type="dxa"/>
            <w:noWrap w:val="0"/>
            <w:vAlign w:val="center"/>
          </w:tcPr>
          <w:p w14:paraId="5BDE1B99">
            <w:pPr>
              <w:spacing w:line="480" w:lineRule="auto"/>
              <w:ind w:right="538" w:rightChars="192"/>
              <w:jc w:val="center"/>
              <w:rPr>
                <w:rFonts w:hint="eastAsia" w:ascii="宋体" w:hAnsi="宋体" w:eastAsia="宋体" w:cs="宋体"/>
                <w:color w:val="auto"/>
                <w:sz w:val="28"/>
                <w:szCs w:val="28"/>
              </w:rPr>
            </w:pPr>
          </w:p>
        </w:tc>
        <w:tc>
          <w:tcPr>
            <w:tcW w:w="2174" w:type="dxa"/>
            <w:noWrap w:val="0"/>
            <w:vAlign w:val="center"/>
          </w:tcPr>
          <w:p w14:paraId="68BB4761">
            <w:pPr>
              <w:spacing w:line="48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c>
          <w:tcPr>
            <w:tcW w:w="776" w:type="dxa"/>
            <w:noWrap w:val="0"/>
            <w:vAlign w:val="center"/>
          </w:tcPr>
          <w:p w14:paraId="7991459F">
            <w:pPr>
              <w:spacing w:line="480" w:lineRule="auto"/>
              <w:jc w:val="center"/>
              <w:rPr>
                <w:rFonts w:hint="eastAsia" w:ascii="宋体" w:hAnsi="宋体" w:eastAsia="宋体" w:cs="宋体"/>
                <w:color w:val="auto"/>
                <w:sz w:val="28"/>
                <w:szCs w:val="28"/>
              </w:rPr>
            </w:pPr>
          </w:p>
        </w:tc>
        <w:tc>
          <w:tcPr>
            <w:tcW w:w="1529" w:type="dxa"/>
            <w:noWrap w:val="0"/>
            <w:vAlign w:val="center"/>
          </w:tcPr>
          <w:p w14:paraId="316CE2BE">
            <w:pPr>
              <w:spacing w:line="480" w:lineRule="auto"/>
              <w:jc w:val="center"/>
              <w:rPr>
                <w:rFonts w:hint="eastAsia" w:ascii="宋体" w:hAnsi="宋体" w:eastAsia="宋体" w:cs="宋体"/>
                <w:color w:val="auto"/>
                <w:sz w:val="28"/>
                <w:szCs w:val="28"/>
              </w:rPr>
            </w:pPr>
          </w:p>
        </w:tc>
        <w:tc>
          <w:tcPr>
            <w:tcW w:w="1560" w:type="dxa"/>
            <w:noWrap w:val="0"/>
            <w:vAlign w:val="center"/>
          </w:tcPr>
          <w:p w14:paraId="3504F818">
            <w:pPr>
              <w:spacing w:line="480" w:lineRule="auto"/>
              <w:jc w:val="center"/>
              <w:rPr>
                <w:rFonts w:hint="eastAsia" w:ascii="宋体" w:hAnsi="宋体" w:eastAsia="宋体" w:cs="宋体"/>
                <w:color w:val="auto"/>
                <w:sz w:val="28"/>
                <w:szCs w:val="28"/>
              </w:rPr>
            </w:pPr>
          </w:p>
        </w:tc>
        <w:tc>
          <w:tcPr>
            <w:tcW w:w="684" w:type="dxa"/>
            <w:noWrap w:val="0"/>
            <w:vAlign w:val="center"/>
          </w:tcPr>
          <w:p w14:paraId="661C9122">
            <w:pPr>
              <w:spacing w:line="480" w:lineRule="auto"/>
              <w:jc w:val="center"/>
              <w:rPr>
                <w:rFonts w:hint="eastAsia" w:ascii="宋体" w:hAnsi="宋体" w:eastAsia="宋体" w:cs="宋体"/>
                <w:color w:val="auto"/>
                <w:sz w:val="28"/>
                <w:szCs w:val="28"/>
              </w:rPr>
            </w:pPr>
          </w:p>
        </w:tc>
      </w:tr>
      <w:tr w14:paraId="7D90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1A50A3D4">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36480528">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3EC5918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4230FAA3">
            <w:pPr>
              <w:spacing w:line="480" w:lineRule="auto"/>
              <w:jc w:val="center"/>
              <w:rPr>
                <w:rFonts w:hint="eastAsia" w:ascii="宋体" w:hAnsi="宋体" w:eastAsia="宋体" w:cs="宋体"/>
                <w:color w:val="auto"/>
                <w:sz w:val="28"/>
                <w:szCs w:val="28"/>
              </w:rPr>
            </w:pPr>
          </w:p>
        </w:tc>
        <w:tc>
          <w:tcPr>
            <w:tcW w:w="1340" w:type="dxa"/>
            <w:noWrap w:val="0"/>
            <w:vAlign w:val="center"/>
          </w:tcPr>
          <w:p w14:paraId="4DF1E33D">
            <w:pPr>
              <w:spacing w:line="480" w:lineRule="auto"/>
              <w:jc w:val="center"/>
              <w:rPr>
                <w:rFonts w:hint="eastAsia" w:ascii="宋体" w:hAnsi="宋体" w:eastAsia="宋体" w:cs="宋体"/>
                <w:color w:val="auto"/>
                <w:sz w:val="28"/>
                <w:szCs w:val="28"/>
              </w:rPr>
            </w:pPr>
          </w:p>
        </w:tc>
        <w:tc>
          <w:tcPr>
            <w:tcW w:w="1091" w:type="dxa"/>
            <w:noWrap w:val="0"/>
            <w:vAlign w:val="center"/>
          </w:tcPr>
          <w:p w14:paraId="0F67EB1B">
            <w:pPr>
              <w:spacing w:line="480" w:lineRule="auto"/>
              <w:jc w:val="center"/>
              <w:rPr>
                <w:rFonts w:hint="eastAsia" w:ascii="宋体" w:hAnsi="宋体" w:eastAsia="宋体" w:cs="宋体"/>
                <w:color w:val="auto"/>
                <w:sz w:val="28"/>
                <w:szCs w:val="28"/>
              </w:rPr>
            </w:pPr>
          </w:p>
        </w:tc>
        <w:tc>
          <w:tcPr>
            <w:tcW w:w="709" w:type="dxa"/>
            <w:noWrap w:val="0"/>
            <w:vAlign w:val="center"/>
          </w:tcPr>
          <w:p w14:paraId="72DD9EAA">
            <w:pPr>
              <w:spacing w:line="480" w:lineRule="auto"/>
              <w:jc w:val="center"/>
              <w:rPr>
                <w:rFonts w:hint="eastAsia" w:ascii="宋体" w:hAnsi="宋体" w:eastAsia="宋体" w:cs="宋体"/>
                <w:color w:val="auto"/>
                <w:sz w:val="28"/>
                <w:szCs w:val="28"/>
              </w:rPr>
            </w:pPr>
          </w:p>
        </w:tc>
        <w:tc>
          <w:tcPr>
            <w:tcW w:w="2174" w:type="dxa"/>
            <w:noWrap w:val="0"/>
            <w:vAlign w:val="center"/>
          </w:tcPr>
          <w:p w14:paraId="02D86C5F">
            <w:pPr>
              <w:spacing w:line="480" w:lineRule="auto"/>
              <w:jc w:val="center"/>
              <w:rPr>
                <w:rFonts w:hint="eastAsia" w:ascii="宋体" w:hAnsi="宋体" w:eastAsia="宋体" w:cs="宋体"/>
                <w:color w:val="auto"/>
                <w:sz w:val="28"/>
                <w:szCs w:val="28"/>
              </w:rPr>
            </w:pPr>
          </w:p>
        </w:tc>
        <w:tc>
          <w:tcPr>
            <w:tcW w:w="776" w:type="dxa"/>
            <w:noWrap w:val="0"/>
            <w:vAlign w:val="center"/>
          </w:tcPr>
          <w:p w14:paraId="1E244623">
            <w:pPr>
              <w:spacing w:line="480" w:lineRule="auto"/>
              <w:jc w:val="center"/>
              <w:rPr>
                <w:rFonts w:hint="eastAsia" w:ascii="宋体" w:hAnsi="宋体" w:eastAsia="宋体" w:cs="宋体"/>
                <w:color w:val="auto"/>
                <w:sz w:val="28"/>
                <w:szCs w:val="28"/>
              </w:rPr>
            </w:pPr>
          </w:p>
        </w:tc>
        <w:tc>
          <w:tcPr>
            <w:tcW w:w="1529" w:type="dxa"/>
            <w:noWrap w:val="0"/>
            <w:vAlign w:val="center"/>
          </w:tcPr>
          <w:p w14:paraId="73ADF8EB">
            <w:pPr>
              <w:spacing w:line="480" w:lineRule="auto"/>
              <w:jc w:val="center"/>
              <w:rPr>
                <w:rFonts w:hint="eastAsia" w:ascii="宋体" w:hAnsi="宋体" w:eastAsia="宋体" w:cs="宋体"/>
                <w:color w:val="auto"/>
                <w:sz w:val="28"/>
                <w:szCs w:val="28"/>
              </w:rPr>
            </w:pPr>
          </w:p>
        </w:tc>
        <w:tc>
          <w:tcPr>
            <w:tcW w:w="1560" w:type="dxa"/>
            <w:noWrap w:val="0"/>
            <w:vAlign w:val="center"/>
          </w:tcPr>
          <w:p w14:paraId="7928E3D6">
            <w:pPr>
              <w:spacing w:line="480" w:lineRule="auto"/>
              <w:jc w:val="center"/>
              <w:rPr>
                <w:rFonts w:hint="eastAsia" w:ascii="宋体" w:hAnsi="宋体" w:eastAsia="宋体" w:cs="宋体"/>
                <w:color w:val="auto"/>
                <w:sz w:val="28"/>
                <w:szCs w:val="28"/>
              </w:rPr>
            </w:pPr>
          </w:p>
        </w:tc>
        <w:tc>
          <w:tcPr>
            <w:tcW w:w="684" w:type="dxa"/>
            <w:noWrap w:val="0"/>
            <w:vAlign w:val="center"/>
          </w:tcPr>
          <w:p w14:paraId="441C08CE">
            <w:pPr>
              <w:spacing w:line="480" w:lineRule="auto"/>
              <w:jc w:val="center"/>
              <w:rPr>
                <w:rFonts w:hint="eastAsia" w:ascii="宋体" w:hAnsi="宋体" w:eastAsia="宋体" w:cs="宋体"/>
                <w:color w:val="auto"/>
                <w:sz w:val="28"/>
                <w:szCs w:val="28"/>
              </w:rPr>
            </w:pPr>
          </w:p>
        </w:tc>
      </w:tr>
    </w:tbl>
    <w:p w14:paraId="11A49940">
      <w:pPr>
        <w:tabs>
          <w:tab w:val="left" w:pos="6300"/>
        </w:tabs>
        <w:snapToGrid w:val="0"/>
        <w:spacing w:line="312" w:lineRule="auto"/>
        <w:ind w:firstLine="560" w:firstLineChars="200"/>
        <w:rPr>
          <w:rFonts w:hint="eastAsia" w:ascii="宋体" w:hAnsi="宋体" w:eastAsia="宋体" w:cs="宋体"/>
          <w:color w:val="auto"/>
          <w:sz w:val="28"/>
          <w:szCs w:val="28"/>
        </w:rPr>
      </w:pPr>
    </w:p>
    <w:p w14:paraId="3E2AEC26">
      <w:pPr>
        <w:tabs>
          <w:tab w:val="left" w:pos="6300"/>
        </w:tabs>
        <w:snapToGrid w:val="0"/>
        <w:spacing w:line="312" w:lineRule="auto"/>
        <w:ind w:firstLine="4480" w:firstLineChars="1600"/>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                                   法定代表人授权代表：</w:t>
      </w:r>
    </w:p>
    <w:p w14:paraId="0FADD443">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人公章）                               （签字或盖章）</w:t>
      </w:r>
    </w:p>
    <w:p w14:paraId="2BAC769D">
      <w:pPr>
        <w:tabs>
          <w:tab w:val="left" w:pos="6300"/>
        </w:tabs>
        <w:snapToGrid w:val="0"/>
        <w:spacing w:line="312" w:lineRule="auto"/>
        <w:ind w:firstLine="560" w:firstLineChars="200"/>
        <w:rPr>
          <w:rFonts w:hint="eastAsia" w:ascii="宋体" w:hAnsi="宋体" w:eastAsia="宋体" w:cs="宋体"/>
          <w:color w:val="auto"/>
          <w:sz w:val="28"/>
          <w:szCs w:val="28"/>
        </w:rPr>
      </w:pPr>
    </w:p>
    <w:p w14:paraId="70FDFEC7">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 年     月     日</w:t>
      </w:r>
    </w:p>
    <w:p w14:paraId="68654240">
      <w:pPr>
        <w:pStyle w:val="2"/>
        <w:rPr>
          <w:rFonts w:hint="eastAsia"/>
          <w:color w:val="auto"/>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7C6D0B00">
      <w:pPr>
        <w:pStyle w:val="2"/>
        <w:rPr>
          <w:rFonts w:hint="eastAsia"/>
          <w:color w:val="auto"/>
        </w:rPr>
      </w:pPr>
    </w:p>
    <w:p w14:paraId="1B2A6BC0">
      <w:pPr>
        <w:pStyle w:val="57"/>
        <w:ind w:firstLine="0"/>
        <w:rPr>
          <w:rFonts w:hint="default" w:ascii="宋体" w:hAnsi="宋体" w:eastAsia="宋体" w:cs="宋体"/>
          <w:b/>
          <w:bCs/>
          <w:color w:val="auto"/>
          <w:sz w:val="24"/>
          <w:szCs w:val="24"/>
          <w:lang w:val="en-US"/>
        </w:rPr>
      </w:pPr>
      <w:bookmarkStart w:id="156" w:name="OLE_LINK15"/>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w:t>
      </w:r>
      <w:bookmarkStart w:id="157" w:name="OLE_LINK11"/>
      <w:r>
        <w:rPr>
          <w:rFonts w:hint="eastAsia" w:ascii="宋体" w:hAnsi="宋体" w:eastAsia="宋体" w:cs="宋体"/>
          <w:color w:val="auto"/>
          <w:kern w:val="2"/>
          <w:sz w:val="24"/>
          <w:szCs w:val="24"/>
          <w:lang w:val="en-US" w:eastAsia="zh-CN" w:bidi="ar-SA"/>
        </w:rPr>
        <w:t>专用设备报价表</w:t>
      </w:r>
      <w:bookmarkEnd w:id="156"/>
      <w:bookmarkEnd w:id="157"/>
      <w:bookmarkStart w:id="158" w:name="OLE_LINK18"/>
      <w:r>
        <w:rPr>
          <w:rFonts w:hint="eastAsia" w:eastAsia="宋体" w:cs="宋体"/>
          <w:color w:val="auto"/>
          <w:kern w:val="2"/>
          <w:sz w:val="24"/>
          <w:szCs w:val="24"/>
          <w:lang w:val="en-US" w:eastAsia="zh-CN" w:bidi="ar-SA"/>
        </w:rPr>
        <w:t>(如有)</w:t>
      </w:r>
    </w:p>
    <w:bookmarkEnd w:id="158"/>
    <w:p w14:paraId="58F03C93">
      <w:pPr>
        <w:rPr>
          <w:rFonts w:hint="eastAsia"/>
          <w:color w:val="auto"/>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08390DC8">
        <w:trPr>
          <w:trHeight w:val="1020" w:hRule="atLeast"/>
        </w:trPr>
        <w:tc>
          <w:tcPr>
            <w:tcW w:w="5000" w:type="pct"/>
            <w:gridSpan w:val="9"/>
            <w:tcBorders>
              <w:top w:val="nil"/>
              <w:left w:val="nil"/>
              <w:bottom w:val="nil"/>
              <w:right w:val="nil"/>
            </w:tcBorders>
            <w:noWrap/>
            <w:vAlign w:val="center"/>
          </w:tcPr>
          <w:p w14:paraId="2E3BB2C2">
            <w:pPr>
              <w:widowControl/>
              <w:jc w:val="center"/>
              <w:textAlignment w:val="center"/>
              <w:rPr>
                <w:rFonts w:hint="eastAsia" w:ascii="宋体" w:hAnsi="宋体" w:cs="宋体"/>
                <w:b/>
                <w:bCs/>
                <w:color w:val="auto"/>
                <w:sz w:val="36"/>
                <w:szCs w:val="36"/>
              </w:rPr>
            </w:pPr>
            <w:bookmarkStart w:id="159" w:name="OLE_LINK16"/>
            <w:r>
              <w:rPr>
                <w:rFonts w:hint="eastAsia" w:ascii="宋体" w:hAnsi="宋体" w:cs="宋体"/>
                <w:b/>
                <w:bCs/>
                <w:color w:val="auto"/>
                <w:kern w:val="0"/>
                <w:sz w:val="36"/>
                <w:szCs w:val="36"/>
                <w:lang w:eastAsia="zh-CN" w:bidi="ar"/>
              </w:rPr>
              <w:t>耗材</w:t>
            </w:r>
            <w:r>
              <w:rPr>
                <w:rFonts w:hint="eastAsia" w:ascii="宋体" w:hAnsi="宋体" w:cs="宋体"/>
                <w:b/>
                <w:bCs/>
                <w:color w:val="auto"/>
                <w:kern w:val="0"/>
                <w:sz w:val="36"/>
                <w:szCs w:val="36"/>
                <w:lang w:bidi="ar"/>
              </w:rPr>
              <w:t>配套医用</w:t>
            </w:r>
            <w:r>
              <w:rPr>
                <w:rFonts w:hint="eastAsia" w:ascii="宋体" w:hAnsi="宋体" w:cs="宋体"/>
                <w:b/>
                <w:bCs/>
                <w:color w:val="auto"/>
                <w:kern w:val="0"/>
                <w:sz w:val="36"/>
                <w:szCs w:val="36"/>
                <w:lang w:eastAsia="zh-CN" w:bidi="ar"/>
              </w:rPr>
              <w:t>设备</w:t>
            </w:r>
            <w:r>
              <w:rPr>
                <w:rStyle w:val="225"/>
                <w:rFonts w:hint="default"/>
                <w:color w:val="auto"/>
                <w:lang w:bidi="ar"/>
              </w:rPr>
              <w:t>报价表</w:t>
            </w:r>
            <w:bookmarkEnd w:id="159"/>
          </w:p>
        </w:tc>
      </w:tr>
      <w:tr w14:paraId="0E0B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131FF3C">
            <w:pPr>
              <w:spacing w:line="400" w:lineRule="exact"/>
              <w:jc w:val="center"/>
              <w:rPr>
                <w:rFonts w:ascii="楷体" w:hAnsi="楷体" w:eastAsia="楷体"/>
                <w:color w:val="auto"/>
                <w:szCs w:val="28"/>
              </w:rPr>
            </w:pPr>
            <w:r>
              <w:rPr>
                <w:rFonts w:hint="eastAsia" w:ascii="楷体" w:hAnsi="楷体" w:eastAsia="楷体"/>
                <w:color w:val="auto"/>
                <w:szCs w:val="28"/>
              </w:rPr>
              <w:t>序号</w:t>
            </w:r>
          </w:p>
        </w:tc>
        <w:tc>
          <w:tcPr>
            <w:tcW w:w="530" w:type="pct"/>
            <w:noWrap w:val="0"/>
            <w:vAlign w:val="center"/>
          </w:tcPr>
          <w:p w14:paraId="17B7DCEE">
            <w:pPr>
              <w:spacing w:line="400" w:lineRule="exact"/>
              <w:jc w:val="center"/>
              <w:rPr>
                <w:rFonts w:ascii="楷体" w:hAnsi="楷体" w:eastAsia="楷体"/>
                <w:color w:val="auto"/>
                <w:szCs w:val="28"/>
              </w:rPr>
            </w:pPr>
            <w:r>
              <w:rPr>
                <w:rFonts w:hint="eastAsia" w:ascii="楷体" w:hAnsi="楷体" w:eastAsia="楷体"/>
                <w:color w:val="auto"/>
                <w:szCs w:val="28"/>
              </w:rPr>
              <w:t>品名</w:t>
            </w:r>
          </w:p>
        </w:tc>
        <w:tc>
          <w:tcPr>
            <w:tcW w:w="584" w:type="pct"/>
            <w:noWrap w:val="0"/>
            <w:vAlign w:val="center"/>
          </w:tcPr>
          <w:p w14:paraId="67D54DD3">
            <w:pPr>
              <w:spacing w:line="400" w:lineRule="exact"/>
              <w:jc w:val="center"/>
              <w:rPr>
                <w:rFonts w:ascii="楷体" w:hAnsi="楷体" w:eastAsia="楷体"/>
                <w:color w:val="auto"/>
                <w:szCs w:val="28"/>
              </w:rPr>
            </w:pPr>
            <w:r>
              <w:rPr>
                <w:rFonts w:hint="eastAsia" w:ascii="楷体" w:hAnsi="楷体" w:eastAsia="楷体"/>
                <w:color w:val="auto"/>
                <w:szCs w:val="28"/>
              </w:rPr>
              <w:t>厂家</w:t>
            </w:r>
          </w:p>
        </w:tc>
        <w:tc>
          <w:tcPr>
            <w:tcW w:w="463" w:type="pct"/>
            <w:noWrap w:val="0"/>
            <w:vAlign w:val="center"/>
          </w:tcPr>
          <w:p w14:paraId="5219CC3D">
            <w:pPr>
              <w:spacing w:line="400" w:lineRule="exact"/>
              <w:jc w:val="center"/>
              <w:rPr>
                <w:rFonts w:ascii="楷体" w:hAnsi="楷体" w:eastAsia="楷体"/>
                <w:color w:val="auto"/>
                <w:szCs w:val="28"/>
              </w:rPr>
            </w:pPr>
            <w:r>
              <w:rPr>
                <w:rFonts w:hint="eastAsia" w:ascii="楷体" w:hAnsi="楷体" w:eastAsia="楷体"/>
                <w:color w:val="auto"/>
                <w:szCs w:val="28"/>
              </w:rPr>
              <w:t>型号</w:t>
            </w:r>
          </w:p>
        </w:tc>
        <w:tc>
          <w:tcPr>
            <w:tcW w:w="439" w:type="pct"/>
            <w:noWrap w:val="0"/>
            <w:vAlign w:val="center"/>
          </w:tcPr>
          <w:p w14:paraId="3493241E">
            <w:pPr>
              <w:spacing w:line="400" w:lineRule="exact"/>
              <w:jc w:val="center"/>
              <w:rPr>
                <w:rFonts w:ascii="楷体" w:hAnsi="楷体" w:eastAsia="楷体"/>
                <w:color w:val="auto"/>
                <w:szCs w:val="28"/>
              </w:rPr>
            </w:pPr>
            <w:r>
              <w:rPr>
                <w:rFonts w:hint="eastAsia" w:ascii="楷体" w:hAnsi="楷体" w:eastAsia="楷体"/>
                <w:color w:val="auto"/>
                <w:szCs w:val="28"/>
              </w:rPr>
              <w:t>产地</w:t>
            </w:r>
          </w:p>
        </w:tc>
        <w:tc>
          <w:tcPr>
            <w:tcW w:w="540" w:type="pct"/>
            <w:noWrap w:val="0"/>
            <w:vAlign w:val="center"/>
          </w:tcPr>
          <w:p w14:paraId="424A8A7B">
            <w:pPr>
              <w:spacing w:line="400" w:lineRule="exact"/>
              <w:jc w:val="center"/>
              <w:rPr>
                <w:rFonts w:ascii="楷体" w:hAnsi="楷体" w:eastAsia="楷体"/>
                <w:color w:val="auto"/>
                <w:szCs w:val="28"/>
              </w:rPr>
            </w:pPr>
            <w:r>
              <w:rPr>
                <w:rFonts w:hint="eastAsia" w:ascii="楷体" w:hAnsi="楷体" w:eastAsia="楷体"/>
                <w:color w:val="auto"/>
                <w:szCs w:val="28"/>
              </w:rPr>
              <w:t>数量</w:t>
            </w:r>
          </w:p>
        </w:tc>
        <w:tc>
          <w:tcPr>
            <w:tcW w:w="733" w:type="pct"/>
            <w:noWrap w:val="0"/>
            <w:vAlign w:val="center"/>
          </w:tcPr>
          <w:p w14:paraId="35619A0E">
            <w:pPr>
              <w:spacing w:line="400" w:lineRule="exact"/>
              <w:jc w:val="center"/>
              <w:rPr>
                <w:rFonts w:ascii="楷体" w:hAnsi="楷体" w:eastAsia="楷体"/>
                <w:color w:val="auto"/>
                <w:szCs w:val="28"/>
              </w:rPr>
            </w:pPr>
            <w:r>
              <w:rPr>
                <w:rFonts w:hint="eastAsia" w:ascii="楷体" w:hAnsi="楷体" w:eastAsia="楷体"/>
                <w:color w:val="auto"/>
                <w:szCs w:val="28"/>
              </w:rPr>
              <w:t>单价</w:t>
            </w:r>
          </w:p>
          <w:p w14:paraId="1F3FC47D">
            <w:pPr>
              <w:spacing w:line="400" w:lineRule="exact"/>
              <w:jc w:val="center"/>
              <w:rPr>
                <w:rFonts w:ascii="楷体" w:hAnsi="楷体" w:eastAsia="楷体"/>
                <w:color w:val="auto"/>
                <w:szCs w:val="28"/>
              </w:rPr>
            </w:pPr>
            <w:r>
              <w:rPr>
                <w:rFonts w:hint="eastAsia" w:ascii="楷体" w:hAnsi="楷体" w:eastAsia="楷体"/>
                <w:color w:val="auto"/>
                <w:szCs w:val="28"/>
              </w:rPr>
              <w:t>（万元）</w:t>
            </w:r>
          </w:p>
        </w:tc>
        <w:tc>
          <w:tcPr>
            <w:tcW w:w="999" w:type="pct"/>
            <w:noWrap w:val="0"/>
            <w:vAlign w:val="center"/>
          </w:tcPr>
          <w:p w14:paraId="440DBEC4">
            <w:pPr>
              <w:spacing w:line="400" w:lineRule="exact"/>
              <w:jc w:val="center"/>
              <w:rPr>
                <w:rFonts w:ascii="楷体" w:hAnsi="楷体" w:eastAsia="楷体"/>
                <w:color w:val="auto"/>
                <w:szCs w:val="28"/>
              </w:rPr>
            </w:pPr>
            <w:r>
              <w:rPr>
                <w:rFonts w:hint="eastAsia" w:ascii="楷体" w:hAnsi="楷体" w:eastAsia="楷体"/>
                <w:color w:val="auto"/>
                <w:szCs w:val="28"/>
              </w:rPr>
              <w:t>合计</w:t>
            </w:r>
          </w:p>
          <w:p w14:paraId="4382C3AD">
            <w:pPr>
              <w:spacing w:line="400" w:lineRule="exact"/>
              <w:jc w:val="center"/>
              <w:rPr>
                <w:rFonts w:ascii="楷体" w:hAnsi="楷体" w:eastAsia="楷体"/>
                <w:color w:val="auto"/>
                <w:szCs w:val="28"/>
              </w:rPr>
            </w:pPr>
            <w:r>
              <w:rPr>
                <w:rFonts w:hint="eastAsia" w:ascii="楷体" w:hAnsi="楷体" w:eastAsia="楷体"/>
                <w:color w:val="auto"/>
                <w:szCs w:val="28"/>
              </w:rPr>
              <w:t>（万元）</w:t>
            </w:r>
          </w:p>
        </w:tc>
      </w:tr>
      <w:tr w14:paraId="1CE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A162C1B">
            <w:pPr>
              <w:spacing w:line="400" w:lineRule="exact"/>
              <w:jc w:val="center"/>
              <w:rPr>
                <w:rFonts w:ascii="楷体" w:hAnsi="楷体" w:eastAsia="楷体"/>
                <w:color w:val="auto"/>
                <w:szCs w:val="28"/>
              </w:rPr>
            </w:pPr>
          </w:p>
        </w:tc>
        <w:tc>
          <w:tcPr>
            <w:tcW w:w="530" w:type="pct"/>
            <w:noWrap w:val="0"/>
            <w:vAlign w:val="center"/>
          </w:tcPr>
          <w:p w14:paraId="7C5E0645">
            <w:pPr>
              <w:spacing w:line="400" w:lineRule="exact"/>
              <w:jc w:val="center"/>
              <w:rPr>
                <w:rFonts w:ascii="楷体" w:hAnsi="楷体" w:eastAsia="楷体"/>
                <w:color w:val="auto"/>
                <w:szCs w:val="28"/>
              </w:rPr>
            </w:pPr>
          </w:p>
        </w:tc>
        <w:tc>
          <w:tcPr>
            <w:tcW w:w="584" w:type="pct"/>
            <w:noWrap w:val="0"/>
            <w:vAlign w:val="top"/>
          </w:tcPr>
          <w:p w14:paraId="36B6F0B3">
            <w:pPr>
              <w:spacing w:line="400" w:lineRule="exact"/>
              <w:jc w:val="center"/>
              <w:rPr>
                <w:rFonts w:ascii="楷体" w:hAnsi="楷体" w:eastAsia="楷体"/>
                <w:color w:val="auto"/>
                <w:szCs w:val="28"/>
              </w:rPr>
            </w:pPr>
          </w:p>
        </w:tc>
        <w:tc>
          <w:tcPr>
            <w:tcW w:w="463" w:type="pct"/>
            <w:noWrap w:val="0"/>
            <w:vAlign w:val="center"/>
          </w:tcPr>
          <w:p w14:paraId="0B492A63">
            <w:pPr>
              <w:spacing w:line="400" w:lineRule="exact"/>
              <w:jc w:val="center"/>
              <w:rPr>
                <w:rFonts w:ascii="楷体" w:hAnsi="楷体" w:eastAsia="楷体"/>
                <w:color w:val="auto"/>
                <w:szCs w:val="28"/>
              </w:rPr>
            </w:pPr>
          </w:p>
        </w:tc>
        <w:tc>
          <w:tcPr>
            <w:tcW w:w="439" w:type="pct"/>
            <w:noWrap w:val="0"/>
            <w:vAlign w:val="center"/>
          </w:tcPr>
          <w:p w14:paraId="15930892">
            <w:pPr>
              <w:spacing w:line="400" w:lineRule="exact"/>
              <w:jc w:val="center"/>
              <w:rPr>
                <w:rFonts w:ascii="楷体" w:hAnsi="楷体" w:eastAsia="楷体"/>
                <w:color w:val="auto"/>
                <w:szCs w:val="28"/>
              </w:rPr>
            </w:pPr>
          </w:p>
        </w:tc>
        <w:tc>
          <w:tcPr>
            <w:tcW w:w="540" w:type="pct"/>
            <w:noWrap w:val="0"/>
            <w:vAlign w:val="center"/>
          </w:tcPr>
          <w:p w14:paraId="694E95C0">
            <w:pPr>
              <w:spacing w:line="400" w:lineRule="exact"/>
              <w:jc w:val="center"/>
              <w:rPr>
                <w:rFonts w:ascii="楷体" w:hAnsi="楷体" w:eastAsia="楷体"/>
                <w:color w:val="auto"/>
                <w:szCs w:val="28"/>
              </w:rPr>
            </w:pPr>
          </w:p>
        </w:tc>
        <w:tc>
          <w:tcPr>
            <w:tcW w:w="733" w:type="pct"/>
            <w:noWrap w:val="0"/>
            <w:vAlign w:val="center"/>
          </w:tcPr>
          <w:p w14:paraId="401936E3">
            <w:pPr>
              <w:spacing w:line="400" w:lineRule="exact"/>
              <w:jc w:val="center"/>
              <w:rPr>
                <w:rFonts w:ascii="楷体" w:hAnsi="楷体" w:eastAsia="楷体"/>
                <w:color w:val="auto"/>
                <w:szCs w:val="28"/>
              </w:rPr>
            </w:pPr>
          </w:p>
        </w:tc>
        <w:tc>
          <w:tcPr>
            <w:tcW w:w="999" w:type="pct"/>
            <w:noWrap w:val="0"/>
            <w:vAlign w:val="center"/>
          </w:tcPr>
          <w:p w14:paraId="686647EF">
            <w:pPr>
              <w:spacing w:line="400" w:lineRule="exact"/>
              <w:jc w:val="center"/>
              <w:rPr>
                <w:rFonts w:ascii="楷体" w:hAnsi="楷体" w:eastAsia="楷体"/>
                <w:color w:val="auto"/>
                <w:szCs w:val="28"/>
              </w:rPr>
            </w:pPr>
          </w:p>
        </w:tc>
      </w:tr>
      <w:tr w14:paraId="6D76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DB6920">
            <w:pPr>
              <w:spacing w:line="400" w:lineRule="exact"/>
              <w:jc w:val="center"/>
              <w:rPr>
                <w:rFonts w:ascii="楷体" w:hAnsi="楷体" w:eastAsia="楷体"/>
                <w:color w:val="auto"/>
                <w:szCs w:val="28"/>
              </w:rPr>
            </w:pPr>
          </w:p>
        </w:tc>
        <w:tc>
          <w:tcPr>
            <w:tcW w:w="530" w:type="pct"/>
            <w:noWrap w:val="0"/>
            <w:vAlign w:val="center"/>
          </w:tcPr>
          <w:p w14:paraId="468086A2">
            <w:pPr>
              <w:spacing w:line="400" w:lineRule="exact"/>
              <w:jc w:val="center"/>
              <w:rPr>
                <w:rFonts w:ascii="楷体" w:hAnsi="楷体" w:eastAsia="楷体"/>
                <w:color w:val="auto"/>
                <w:szCs w:val="28"/>
              </w:rPr>
            </w:pPr>
          </w:p>
        </w:tc>
        <w:tc>
          <w:tcPr>
            <w:tcW w:w="584" w:type="pct"/>
            <w:noWrap w:val="0"/>
            <w:vAlign w:val="top"/>
          </w:tcPr>
          <w:p w14:paraId="25FF2D1C">
            <w:pPr>
              <w:spacing w:line="400" w:lineRule="exact"/>
              <w:jc w:val="center"/>
              <w:rPr>
                <w:rFonts w:ascii="楷体" w:hAnsi="楷体" w:eastAsia="楷体"/>
                <w:color w:val="auto"/>
                <w:szCs w:val="28"/>
              </w:rPr>
            </w:pPr>
          </w:p>
        </w:tc>
        <w:tc>
          <w:tcPr>
            <w:tcW w:w="463" w:type="pct"/>
            <w:noWrap w:val="0"/>
            <w:vAlign w:val="center"/>
          </w:tcPr>
          <w:p w14:paraId="083FBED6">
            <w:pPr>
              <w:spacing w:line="400" w:lineRule="exact"/>
              <w:jc w:val="center"/>
              <w:rPr>
                <w:rFonts w:ascii="楷体" w:hAnsi="楷体" w:eastAsia="楷体"/>
                <w:color w:val="auto"/>
                <w:szCs w:val="28"/>
              </w:rPr>
            </w:pPr>
          </w:p>
        </w:tc>
        <w:tc>
          <w:tcPr>
            <w:tcW w:w="439" w:type="pct"/>
            <w:noWrap w:val="0"/>
            <w:vAlign w:val="center"/>
          </w:tcPr>
          <w:p w14:paraId="1B8CF994">
            <w:pPr>
              <w:spacing w:line="400" w:lineRule="exact"/>
              <w:jc w:val="center"/>
              <w:rPr>
                <w:rFonts w:ascii="楷体" w:hAnsi="楷体" w:eastAsia="楷体"/>
                <w:color w:val="auto"/>
                <w:szCs w:val="28"/>
              </w:rPr>
            </w:pPr>
          </w:p>
        </w:tc>
        <w:tc>
          <w:tcPr>
            <w:tcW w:w="540" w:type="pct"/>
            <w:noWrap w:val="0"/>
            <w:vAlign w:val="center"/>
          </w:tcPr>
          <w:p w14:paraId="1407373F">
            <w:pPr>
              <w:spacing w:line="400" w:lineRule="exact"/>
              <w:jc w:val="center"/>
              <w:rPr>
                <w:rFonts w:ascii="楷体" w:hAnsi="楷体" w:eastAsia="楷体"/>
                <w:color w:val="auto"/>
                <w:szCs w:val="28"/>
              </w:rPr>
            </w:pPr>
          </w:p>
        </w:tc>
        <w:tc>
          <w:tcPr>
            <w:tcW w:w="733" w:type="pct"/>
            <w:noWrap w:val="0"/>
            <w:vAlign w:val="center"/>
          </w:tcPr>
          <w:p w14:paraId="1294F1AD">
            <w:pPr>
              <w:spacing w:line="400" w:lineRule="exact"/>
              <w:jc w:val="center"/>
              <w:rPr>
                <w:rFonts w:ascii="楷体" w:hAnsi="楷体" w:eastAsia="楷体"/>
                <w:color w:val="auto"/>
                <w:szCs w:val="28"/>
              </w:rPr>
            </w:pPr>
          </w:p>
        </w:tc>
        <w:tc>
          <w:tcPr>
            <w:tcW w:w="999" w:type="pct"/>
            <w:noWrap w:val="0"/>
            <w:vAlign w:val="center"/>
          </w:tcPr>
          <w:p w14:paraId="69149EB6">
            <w:pPr>
              <w:spacing w:line="400" w:lineRule="exact"/>
              <w:jc w:val="center"/>
              <w:rPr>
                <w:rFonts w:ascii="楷体" w:hAnsi="楷体" w:eastAsia="楷体"/>
                <w:color w:val="auto"/>
                <w:szCs w:val="28"/>
              </w:rPr>
            </w:pPr>
          </w:p>
        </w:tc>
      </w:tr>
      <w:tr w14:paraId="7E87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15DB913">
            <w:pPr>
              <w:spacing w:line="400" w:lineRule="exact"/>
              <w:jc w:val="center"/>
              <w:rPr>
                <w:rFonts w:ascii="楷体" w:hAnsi="楷体" w:eastAsia="楷体"/>
                <w:color w:val="auto"/>
                <w:szCs w:val="28"/>
              </w:rPr>
            </w:pPr>
          </w:p>
        </w:tc>
        <w:tc>
          <w:tcPr>
            <w:tcW w:w="530" w:type="pct"/>
            <w:noWrap w:val="0"/>
            <w:vAlign w:val="center"/>
          </w:tcPr>
          <w:p w14:paraId="6055B468">
            <w:pPr>
              <w:spacing w:line="400" w:lineRule="exact"/>
              <w:jc w:val="center"/>
              <w:rPr>
                <w:rFonts w:ascii="楷体" w:hAnsi="楷体" w:eastAsia="楷体"/>
                <w:color w:val="auto"/>
                <w:szCs w:val="28"/>
              </w:rPr>
            </w:pPr>
          </w:p>
        </w:tc>
        <w:tc>
          <w:tcPr>
            <w:tcW w:w="584" w:type="pct"/>
            <w:noWrap w:val="0"/>
            <w:vAlign w:val="top"/>
          </w:tcPr>
          <w:p w14:paraId="38B6EDAD">
            <w:pPr>
              <w:spacing w:line="400" w:lineRule="exact"/>
              <w:jc w:val="center"/>
              <w:rPr>
                <w:rFonts w:ascii="楷体" w:hAnsi="楷体" w:eastAsia="楷体"/>
                <w:color w:val="auto"/>
                <w:szCs w:val="28"/>
              </w:rPr>
            </w:pPr>
          </w:p>
        </w:tc>
        <w:tc>
          <w:tcPr>
            <w:tcW w:w="463" w:type="pct"/>
            <w:noWrap w:val="0"/>
            <w:vAlign w:val="center"/>
          </w:tcPr>
          <w:p w14:paraId="64E7CB68">
            <w:pPr>
              <w:spacing w:line="400" w:lineRule="exact"/>
              <w:jc w:val="center"/>
              <w:rPr>
                <w:rFonts w:ascii="楷体" w:hAnsi="楷体" w:eastAsia="楷体"/>
                <w:color w:val="auto"/>
                <w:szCs w:val="28"/>
              </w:rPr>
            </w:pPr>
          </w:p>
        </w:tc>
        <w:tc>
          <w:tcPr>
            <w:tcW w:w="439" w:type="pct"/>
            <w:noWrap w:val="0"/>
            <w:vAlign w:val="center"/>
          </w:tcPr>
          <w:p w14:paraId="7757538D">
            <w:pPr>
              <w:spacing w:line="400" w:lineRule="exact"/>
              <w:jc w:val="center"/>
              <w:rPr>
                <w:rFonts w:ascii="楷体" w:hAnsi="楷体" w:eastAsia="楷体"/>
                <w:color w:val="auto"/>
                <w:szCs w:val="28"/>
              </w:rPr>
            </w:pPr>
          </w:p>
        </w:tc>
        <w:tc>
          <w:tcPr>
            <w:tcW w:w="540" w:type="pct"/>
            <w:noWrap w:val="0"/>
            <w:vAlign w:val="center"/>
          </w:tcPr>
          <w:p w14:paraId="3D405DBF">
            <w:pPr>
              <w:spacing w:line="400" w:lineRule="exact"/>
              <w:jc w:val="center"/>
              <w:rPr>
                <w:rFonts w:ascii="楷体" w:hAnsi="楷体" w:eastAsia="楷体"/>
                <w:color w:val="auto"/>
                <w:szCs w:val="28"/>
              </w:rPr>
            </w:pPr>
          </w:p>
        </w:tc>
        <w:tc>
          <w:tcPr>
            <w:tcW w:w="733" w:type="pct"/>
            <w:noWrap w:val="0"/>
            <w:vAlign w:val="center"/>
          </w:tcPr>
          <w:p w14:paraId="0481B1BD">
            <w:pPr>
              <w:spacing w:line="400" w:lineRule="exact"/>
              <w:jc w:val="center"/>
              <w:rPr>
                <w:rFonts w:ascii="楷体" w:hAnsi="楷体" w:eastAsia="楷体"/>
                <w:color w:val="auto"/>
                <w:szCs w:val="28"/>
              </w:rPr>
            </w:pPr>
          </w:p>
        </w:tc>
        <w:tc>
          <w:tcPr>
            <w:tcW w:w="999" w:type="pct"/>
            <w:noWrap w:val="0"/>
            <w:vAlign w:val="center"/>
          </w:tcPr>
          <w:p w14:paraId="737E3870">
            <w:pPr>
              <w:spacing w:line="400" w:lineRule="exact"/>
              <w:jc w:val="center"/>
              <w:rPr>
                <w:rFonts w:ascii="楷体" w:hAnsi="楷体" w:eastAsia="楷体"/>
                <w:color w:val="auto"/>
                <w:szCs w:val="28"/>
              </w:rPr>
            </w:pPr>
          </w:p>
        </w:tc>
      </w:tr>
      <w:tr w14:paraId="69DF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A22C757">
            <w:pPr>
              <w:spacing w:line="400" w:lineRule="exact"/>
              <w:jc w:val="center"/>
              <w:rPr>
                <w:rFonts w:ascii="楷体" w:hAnsi="楷体" w:eastAsia="楷体"/>
                <w:color w:val="auto"/>
                <w:szCs w:val="28"/>
              </w:rPr>
            </w:pPr>
          </w:p>
        </w:tc>
        <w:tc>
          <w:tcPr>
            <w:tcW w:w="530" w:type="pct"/>
            <w:noWrap w:val="0"/>
            <w:vAlign w:val="center"/>
          </w:tcPr>
          <w:p w14:paraId="25F7652B">
            <w:pPr>
              <w:spacing w:line="400" w:lineRule="exact"/>
              <w:jc w:val="center"/>
              <w:rPr>
                <w:rFonts w:ascii="楷体" w:hAnsi="楷体" w:eastAsia="楷体"/>
                <w:color w:val="auto"/>
                <w:szCs w:val="28"/>
              </w:rPr>
            </w:pPr>
          </w:p>
        </w:tc>
        <w:tc>
          <w:tcPr>
            <w:tcW w:w="584" w:type="pct"/>
            <w:noWrap w:val="0"/>
            <w:vAlign w:val="top"/>
          </w:tcPr>
          <w:p w14:paraId="217FF235">
            <w:pPr>
              <w:spacing w:line="400" w:lineRule="exact"/>
              <w:jc w:val="center"/>
              <w:rPr>
                <w:rFonts w:ascii="楷体" w:hAnsi="楷体" w:eastAsia="楷体"/>
                <w:color w:val="auto"/>
                <w:szCs w:val="28"/>
              </w:rPr>
            </w:pPr>
          </w:p>
        </w:tc>
        <w:tc>
          <w:tcPr>
            <w:tcW w:w="463" w:type="pct"/>
            <w:noWrap w:val="0"/>
            <w:vAlign w:val="center"/>
          </w:tcPr>
          <w:p w14:paraId="7525D72D">
            <w:pPr>
              <w:spacing w:line="400" w:lineRule="exact"/>
              <w:jc w:val="center"/>
              <w:rPr>
                <w:rFonts w:ascii="楷体" w:hAnsi="楷体" w:eastAsia="楷体"/>
                <w:color w:val="auto"/>
                <w:szCs w:val="28"/>
              </w:rPr>
            </w:pPr>
          </w:p>
        </w:tc>
        <w:tc>
          <w:tcPr>
            <w:tcW w:w="439" w:type="pct"/>
            <w:noWrap w:val="0"/>
            <w:vAlign w:val="center"/>
          </w:tcPr>
          <w:p w14:paraId="46D0750C">
            <w:pPr>
              <w:spacing w:line="400" w:lineRule="exact"/>
              <w:jc w:val="center"/>
              <w:rPr>
                <w:rFonts w:ascii="楷体" w:hAnsi="楷体" w:eastAsia="楷体"/>
                <w:color w:val="auto"/>
                <w:szCs w:val="28"/>
              </w:rPr>
            </w:pPr>
          </w:p>
        </w:tc>
        <w:tc>
          <w:tcPr>
            <w:tcW w:w="540" w:type="pct"/>
            <w:noWrap w:val="0"/>
            <w:vAlign w:val="center"/>
          </w:tcPr>
          <w:p w14:paraId="297A1B3E">
            <w:pPr>
              <w:spacing w:line="400" w:lineRule="exact"/>
              <w:jc w:val="center"/>
              <w:rPr>
                <w:rFonts w:ascii="楷体" w:hAnsi="楷体" w:eastAsia="楷体"/>
                <w:color w:val="auto"/>
                <w:szCs w:val="28"/>
              </w:rPr>
            </w:pPr>
          </w:p>
        </w:tc>
        <w:tc>
          <w:tcPr>
            <w:tcW w:w="733" w:type="pct"/>
            <w:noWrap w:val="0"/>
            <w:vAlign w:val="center"/>
          </w:tcPr>
          <w:p w14:paraId="0803DBC3">
            <w:pPr>
              <w:spacing w:line="400" w:lineRule="exact"/>
              <w:jc w:val="center"/>
              <w:rPr>
                <w:rFonts w:ascii="楷体" w:hAnsi="楷体" w:eastAsia="楷体"/>
                <w:color w:val="auto"/>
                <w:szCs w:val="28"/>
              </w:rPr>
            </w:pPr>
          </w:p>
        </w:tc>
        <w:tc>
          <w:tcPr>
            <w:tcW w:w="999" w:type="pct"/>
            <w:noWrap w:val="0"/>
            <w:vAlign w:val="center"/>
          </w:tcPr>
          <w:p w14:paraId="3E42DF04">
            <w:pPr>
              <w:spacing w:line="400" w:lineRule="exact"/>
              <w:jc w:val="center"/>
              <w:rPr>
                <w:rFonts w:ascii="楷体" w:hAnsi="楷体" w:eastAsia="楷体"/>
                <w:color w:val="auto"/>
                <w:szCs w:val="28"/>
              </w:rPr>
            </w:pPr>
          </w:p>
        </w:tc>
      </w:tr>
      <w:tr w14:paraId="608F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850D32">
            <w:pPr>
              <w:spacing w:line="400" w:lineRule="exact"/>
              <w:jc w:val="center"/>
              <w:rPr>
                <w:rFonts w:ascii="楷体" w:hAnsi="楷体" w:eastAsia="楷体"/>
                <w:color w:val="auto"/>
                <w:szCs w:val="28"/>
              </w:rPr>
            </w:pPr>
          </w:p>
        </w:tc>
        <w:tc>
          <w:tcPr>
            <w:tcW w:w="530" w:type="pct"/>
            <w:noWrap w:val="0"/>
            <w:vAlign w:val="center"/>
          </w:tcPr>
          <w:p w14:paraId="0CDDB1E4">
            <w:pPr>
              <w:spacing w:line="400" w:lineRule="exact"/>
              <w:jc w:val="center"/>
              <w:rPr>
                <w:rFonts w:ascii="楷体" w:hAnsi="楷体" w:eastAsia="楷体"/>
                <w:color w:val="auto"/>
                <w:szCs w:val="28"/>
              </w:rPr>
            </w:pPr>
          </w:p>
        </w:tc>
        <w:tc>
          <w:tcPr>
            <w:tcW w:w="584" w:type="pct"/>
            <w:noWrap w:val="0"/>
            <w:vAlign w:val="top"/>
          </w:tcPr>
          <w:p w14:paraId="5A717E3C">
            <w:pPr>
              <w:spacing w:line="400" w:lineRule="exact"/>
              <w:jc w:val="center"/>
              <w:rPr>
                <w:rFonts w:ascii="楷体" w:hAnsi="楷体" w:eastAsia="楷体"/>
                <w:color w:val="auto"/>
                <w:szCs w:val="28"/>
              </w:rPr>
            </w:pPr>
          </w:p>
        </w:tc>
        <w:tc>
          <w:tcPr>
            <w:tcW w:w="463" w:type="pct"/>
            <w:noWrap w:val="0"/>
            <w:vAlign w:val="center"/>
          </w:tcPr>
          <w:p w14:paraId="3D0FD796">
            <w:pPr>
              <w:spacing w:line="400" w:lineRule="exact"/>
              <w:jc w:val="center"/>
              <w:rPr>
                <w:rFonts w:ascii="楷体" w:hAnsi="楷体" w:eastAsia="楷体"/>
                <w:color w:val="auto"/>
                <w:szCs w:val="28"/>
              </w:rPr>
            </w:pPr>
          </w:p>
        </w:tc>
        <w:tc>
          <w:tcPr>
            <w:tcW w:w="439" w:type="pct"/>
            <w:noWrap w:val="0"/>
            <w:vAlign w:val="center"/>
          </w:tcPr>
          <w:p w14:paraId="4FC2DC6D">
            <w:pPr>
              <w:spacing w:line="400" w:lineRule="exact"/>
              <w:jc w:val="center"/>
              <w:rPr>
                <w:rFonts w:ascii="楷体" w:hAnsi="楷体" w:eastAsia="楷体"/>
                <w:color w:val="auto"/>
                <w:szCs w:val="28"/>
              </w:rPr>
            </w:pPr>
          </w:p>
        </w:tc>
        <w:tc>
          <w:tcPr>
            <w:tcW w:w="540" w:type="pct"/>
            <w:noWrap w:val="0"/>
            <w:vAlign w:val="center"/>
          </w:tcPr>
          <w:p w14:paraId="0321EED9">
            <w:pPr>
              <w:spacing w:line="400" w:lineRule="exact"/>
              <w:jc w:val="center"/>
              <w:rPr>
                <w:rFonts w:ascii="楷体" w:hAnsi="楷体" w:eastAsia="楷体"/>
                <w:color w:val="auto"/>
                <w:szCs w:val="28"/>
              </w:rPr>
            </w:pPr>
          </w:p>
        </w:tc>
        <w:tc>
          <w:tcPr>
            <w:tcW w:w="733" w:type="pct"/>
            <w:noWrap w:val="0"/>
            <w:vAlign w:val="center"/>
          </w:tcPr>
          <w:p w14:paraId="02526F3A">
            <w:pPr>
              <w:spacing w:line="400" w:lineRule="exact"/>
              <w:jc w:val="center"/>
              <w:rPr>
                <w:rFonts w:ascii="楷体" w:hAnsi="楷体" w:eastAsia="楷体"/>
                <w:color w:val="auto"/>
                <w:szCs w:val="28"/>
              </w:rPr>
            </w:pPr>
          </w:p>
        </w:tc>
        <w:tc>
          <w:tcPr>
            <w:tcW w:w="999" w:type="pct"/>
            <w:noWrap w:val="0"/>
            <w:vAlign w:val="center"/>
          </w:tcPr>
          <w:p w14:paraId="6175A22E">
            <w:pPr>
              <w:spacing w:line="400" w:lineRule="exact"/>
              <w:jc w:val="center"/>
              <w:rPr>
                <w:rFonts w:ascii="楷体" w:hAnsi="楷体" w:eastAsia="楷体"/>
                <w:color w:val="auto"/>
                <w:szCs w:val="28"/>
              </w:rPr>
            </w:pPr>
          </w:p>
        </w:tc>
      </w:tr>
      <w:tr w14:paraId="677D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61EB219">
            <w:pPr>
              <w:spacing w:line="400" w:lineRule="exact"/>
              <w:rPr>
                <w:rFonts w:ascii="楷体" w:hAnsi="楷体" w:eastAsia="楷体"/>
                <w:color w:val="auto"/>
                <w:szCs w:val="28"/>
              </w:rPr>
            </w:pPr>
          </w:p>
        </w:tc>
        <w:tc>
          <w:tcPr>
            <w:tcW w:w="530" w:type="pct"/>
            <w:noWrap w:val="0"/>
            <w:vAlign w:val="center"/>
          </w:tcPr>
          <w:p w14:paraId="1F847409">
            <w:pPr>
              <w:spacing w:line="400" w:lineRule="exact"/>
              <w:rPr>
                <w:rFonts w:ascii="楷体" w:hAnsi="楷体" w:eastAsia="楷体"/>
                <w:color w:val="auto"/>
                <w:szCs w:val="28"/>
              </w:rPr>
            </w:pPr>
          </w:p>
        </w:tc>
        <w:tc>
          <w:tcPr>
            <w:tcW w:w="584" w:type="pct"/>
            <w:noWrap w:val="0"/>
            <w:vAlign w:val="top"/>
          </w:tcPr>
          <w:p w14:paraId="4787DECF">
            <w:pPr>
              <w:spacing w:line="400" w:lineRule="exact"/>
              <w:rPr>
                <w:rFonts w:ascii="楷体" w:hAnsi="楷体" w:eastAsia="楷体"/>
                <w:color w:val="auto"/>
                <w:szCs w:val="28"/>
              </w:rPr>
            </w:pPr>
          </w:p>
        </w:tc>
        <w:tc>
          <w:tcPr>
            <w:tcW w:w="463" w:type="pct"/>
            <w:noWrap w:val="0"/>
            <w:vAlign w:val="center"/>
          </w:tcPr>
          <w:p w14:paraId="140BF9AD">
            <w:pPr>
              <w:spacing w:line="400" w:lineRule="exact"/>
              <w:rPr>
                <w:rFonts w:ascii="楷体" w:hAnsi="楷体" w:eastAsia="楷体"/>
                <w:color w:val="auto"/>
                <w:szCs w:val="28"/>
              </w:rPr>
            </w:pPr>
          </w:p>
        </w:tc>
        <w:tc>
          <w:tcPr>
            <w:tcW w:w="439" w:type="pct"/>
            <w:noWrap w:val="0"/>
            <w:vAlign w:val="center"/>
          </w:tcPr>
          <w:p w14:paraId="7A1DC455">
            <w:pPr>
              <w:spacing w:line="400" w:lineRule="exact"/>
              <w:rPr>
                <w:rFonts w:ascii="楷体" w:hAnsi="楷体" w:eastAsia="楷体"/>
                <w:color w:val="auto"/>
                <w:szCs w:val="28"/>
              </w:rPr>
            </w:pPr>
          </w:p>
        </w:tc>
        <w:tc>
          <w:tcPr>
            <w:tcW w:w="540" w:type="pct"/>
            <w:noWrap w:val="0"/>
            <w:vAlign w:val="center"/>
          </w:tcPr>
          <w:p w14:paraId="218F6B6B">
            <w:pPr>
              <w:spacing w:line="400" w:lineRule="exact"/>
              <w:rPr>
                <w:rFonts w:ascii="楷体" w:hAnsi="楷体" w:eastAsia="楷体"/>
                <w:color w:val="auto"/>
                <w:szCs w:val="28"/>
              </w:rPr>
            </w:pPr>
          </w:p>
        </w:tc>
        <w:tc>
          <w:tcPr>
            <w:tcW w:w="733" w:type="pct"/>
            <w:noWrap w:val="0"/>
            <w:vAlign w:val="center"/>
          </w:tcPr>
          <w:p w14:paraId="2C60EBDD">
            <w:pPr>
              <w:spacing w:line="400" w:lineRule="exact"/>
              <w:rPr>
                <w:rFonts w:ascii="楷体" w:hAnsi="楷体" w:eastAsia="楷体"/>
                <w:color w:val="auto"/>
                <w:szCs w:val="28"/>
              </w:rPr>
            </w:pPr>
          </w:p>
        </w:tc>
        <w:tc>
          <w:tcPr>
            <w:tcW w:w="999" w:type="pct"/>
            <w:noWrap w:val="0"/>
            <w:vAlign w:val="center"/>
          </w:tcPr>
          <w:p w14:paraId="0C30B70F">
            <w:pPr>
              <w:spacing w:line="400" w:lineRule="exact"/>
              <w:rPr>
                <w:rFonts w:ascii="楷体" w:hAnsi="楷体" w:eastAsia="楷体"/>
                <w:color w:val="auto"/>
                <w:szCs w:val="28"/>
              </w:rPr>
            </w:pPr>
          </w:p>
        </w:tc>
      </w:tr>
      <w:tr w14:paraId="41EC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60A7C70">
            <w:pPr>
              <w:spacing w:line="400" w:lineRule="exact"/>
              <w:rPr>
                <w:rFonts w:ascii="楷体" w:hAnsi="楷体" w:eastAsia="楷体"/>
                <w:color w:val="auto"/>
                <w:szCs w:val="28"/>
              </w:rPr>
            </w:pPr>
          </w:p>
        </w:tc>
        <w:tc>
          <w:tcPr>
            <w:tcW w:w="4290" w:type="pct"/>
            <w:gridSpan w:val="7"/>
            <w:noWrap w:val="0"/>
            <w:vAlign w:val="center"/>
          </w:tcPr>
          <w:p w14:paraId="6FDD3F1B">
            <w:pPr>
              <w:spacing w:line="400" w:lineRule="exact"/>
              <w:rPr>
                <w:rFonts w:ascii="楷体" w:hAnsi="楷体" w:eastAsia="楷体"/>
                <w:color w:val="auto"/>
                <w:szCs w:val="28"/>
              </w:rPr>
            </w:pPr>
            <w:r>
              <w:rPr>
                <w:rFonts w:hint="eastAsia" w:ascii="楷体" w:hAnsi="楷体" w:eastAsia="楷体"/>
                <w:color w:val="auto"/>
                <w:szCs w:val="28"/>
              </w:rPr>
              <w:t>供货周期（天）：        保修期（年） ：</w:t>
            </w:r>
            <w:r>
              <w:rPr>
                <w:rFonts w:hint="eastAsia" w:ascii="楷体" w:hAnsi="楷体" w:eastAsia="楷体"/>
                <w:color w:val="auto"/>
                <w:szCs w:val="28"/>
                <w:lang w:eastAsia="zh-CN"/>
              </w:rPr>
              <w:t>（</w:t>
            </w:r>
            <w:r>
              <w:rPr>
                <w:rFonts w:hint="eastAsia" w:ascii="楷体" w:hAnsi="楷体" w:eastAsia="楷体"/>
                <w:color w:val="auto"/>
                <w:szCs w:val="28"/>
                <w:lang w:val="en-US" w:eastAsia="zh-CN"/>
              </w:rPr>
              <w:t>整机/主机</w:t>
            </w:r>
            <w:r>
              <w:rPr>
                <w:rFonts w:hint="eastAsia" w:ascii="楷体" w:hAnsi="楷体" w:eastAsia="楷体"/>
                <w:color w:val="auto"/>
                <w:szCs w:val="28"/>
                <w:lang w:eastAsia="zh-CN"/>
              </w:rPr>
              <w:t>）</w:t>
            </w:r>
            <w:r>
              <w:rPr>
                <w:rFonts w:hint="eastAsia" w:ascii="楷体" w:hAnsi="楷体" w:eastAsia="楷体"/>
                <w:color w:val="auto"/>
                <w:szCs w:val="28"/>
              </w:rPr>
              <w:t xml:space="preserve"> 5年           </w:t>
            </w:r>
          </w:p>
        </w:tc>
      </w:tr>
      <w:tr w14:paraId="6B42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2FA032D4">
            <w:pPr>
              <w:spacing w:line="400" w:lineRule="exact"/>
              <w:rPr>
                <w:rFonts w:ascii="楷体" w:hAnsi="楷体" w:eastAsia="楷体"/>
                <w:color w:val="auto"/>
                <w:szCs w:val="28"/>
              </w:rPr>
            </w:pPr>
          </w:p>
        </w:tc>
        <w:tc>
          <w:tcPr>
            <w:tcW w:w="4290" w:type="pct"/>
            <w:gridSpan w:val="7"/>
            <w:noWrap w:val="0"/>
            <w:vAlign w:val="center"/>
          </w:tcPr>
          <w:p w14:paraId="12E1049D">
            <w:pPr>
              <w:spacing w:line="400" w:lineRule="exact"/>
              <w:rPr>
                <w:rFonts w:ascii="楷体" w:hAnsi="楷体" w:eastAsia="楷体"/>
                <w:color w:val="auto"/>
                <w:szCs w:val="28"/>
              </w:rPr>
            </w:pPr>
            <w:r>
              <w:rPr>
                <w:rFonts w:hint="eastAsia" w:ascii="楷体" w:hAnsi="楷体" w:eastAsia="楷体"/>
                <w:color w:val="auto"/>
                <w:szCs w:val="28"/>
              </w:rPr>
              <w:t>总价（万元）：</w:t>
            </w:r>
          </w:p>
        </w:tc>
      </w:tr>
    </w:tbl>
    <w:p w14:paraId="6E299493">
      <w:pPr>
        <w:pStyle w:val="5"/>
        <w:rPr>
          <w:rFonts w:hint="eastAsia"/>
          <w:color w:val="auto"/>
        </w:rPr>
      </w:pPr>
    </w:p>
    <w:p w14:paraId="56CD76E1">
      <w:pPr>
        <w:rPr>
          <w:rFonts w:hint="eastAsia"/>
          <w:color w:val="auto"/>
        </w:rPr>
      </w:pPr>
    </w:p>
    <w:p w14:paraId="0AEE49FE">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098FA5BE">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2777F7CE">
      <w:pPr>
        <w:spacing w:line="500" w:lineRule="exact"/>
        <w:rPr>
          <w:rFonts w:hint="eastAsia" w:ascii="宋体" w:hAnsi="宋体" w:cs="宋体"/>
          <w:color w:val="auto"/>
          <w:sz w:val="24"/>
          <w:szCs w:val="28"/>
        </w:rPr>
      </w:pPr>
    </w:p>
    <w:p w14:paraId="6B7A0A73">
      <w:pPr>
        <w:spacing w:line="500" w:lineRule="exact"/>
        <w:rPr>
          <w:rFonts w:hint="eastAsia" w:ascii="宋体" w:hAnsi="宋体" w:cs="宋体"/>
          <w:color w:val="auto"/>
          <w:sz w:val="24"/>
          <w:szCs w:val="28"/>
        </w:rPr>
      </w:pPr>
    </w:p>
    <w:p w14:paraId="01CBD5C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年     月     日</w:t>
      </w:r>
    </w:p>
    <w:p w14:paraId="14BA37A7">
      <w:pPr>
        <w:snapToGrid w:val="0"/>
        <w:spacing w:line="500" w:lineRule="exact"/>
        <w:ind w:firstLine="480" w:firstLineChars="200"/>
        <w:rPr>
          <w:rFonts w:hint="eastAsia" w:ascii="宋体" w:hAnsi="宋体" w:cs="宋体"/>
          <w:color w:val="auto"/>
          <w:sz w:val="24"/>
          <w:szCs w:val="28"/>
        </w:rPr>
      </w:pPr>
    </w:p>
    <w:p w14:paraId="2F04C5C0">
      <w:pPr>
        <w:snapToGrid w:val="0"/>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说明：1.报价一览表按格式填列；务必填写清楚，准确无误。</w:t>
      </w:r>
    </w:p>
    <w:p w14:paraId="6FFBFD05">
      <w:pPr>
        <w:pStyle w:val="2"/>
        <w:ind w:left="1190" w:leftChars="425" w:firstLine="0" w:firstLineChars="0"/>
        <w:rPr>
          <w:rFonts w:hint="eastAsia" w:ascii="宋体" w:hAnsi="宋体" w:eastAsia="宋体" w:cs="宋体"/>
          <w:color w:val="auto"/>
          <w:sz w:val="24"/>
          <w:szCs w:val="28"/>
        </w:rPr>
      </w:pPr>
      <w:r>
        <w:rPr>
          <w:rFonts w:hint="eastAsia" w:ascii="宋体" w:hAnsi="宋体" w:eastAsia="宋体" w:cs="宋体"/>
          <w:color w:val="auto"/>
          <w:sz w:val="24"/>
          <w:szCs w:val="28"/>
        </w:rPr>
        <w:t>2.保修期应注明整机还是主机，若为主机，还须在易损件报价表中明确报出易损件的价格。</w:t>
      </w:r>
    </w:p>
    <w:p w14:paraId="385B6C0C">
      <w:pPr>
        <w:pStyle w:val="57"/>
        <w:ind w:firstLine="0"/>
        <w:rPr>
          <w:rFonts w:hint="default" w:ascii="宋体" w:hAnsi="宋体" w:eastAsia="宋体" w:cs="宋体"/>
          <w:b/>
          <w:bCs/>
          <w:color w:val="auto"/>
          <w:sz w:val="24"/>
          <w:szCs w:val="24"/>
          <w:lang w:val="en-US"/>
        </w:rPr>
      </w:pPr>
      <w:r>
        <w:rPr>
          <w:rFonts w:hint="eastAsia" w:ascii="宋体" w:hAnsi="宋体" w:eastAsia="宋体" w:cs="宋体"/>
          <w:color w:val="auto"/>
          <w:sz w:val="24"/>
          <w:szCs w:val="28"/>
        </w:rPr>
        <w:br w:type="page"/>
      </w:r>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w:t>
      </w:r>
      <w:bookmarkStart w:id="160" w:name="OLE_LINK17"/>
      <w:r>
        <w:rPr>
          <w:rFonts w:hint="eastAsia" w:ascii="宋体" w:hAnsi="宋体" w:eastAsia="宋体" w:cs="宋体"/>
          <w:color w:val="auto"/>
          <w:kern w:val="2"/>
          <w:sz w:val="24"/>
          <w:szCs w:val="24"/>
          <w:lang w:val="en-US" w:eastAsia="zh-CN" w:bidi="ar-SA"/>
        </w:rPr>
        <w:t>耗材专用设备零配件报价表</w:t>
      </w:r>
      <w:bookmarkEnd w:id="160"/>
      <w:r>
        <w:rPr>
          <w:rFonts w:hint="eastAsia" w:eastAsia="宋体" w:cs="宋体"/>
          <w:color w:val="auto"/>
          <w:kern w:val="2"/>
          <w:sz w:val="24"/>
          <w:szCs w:val="24"/>
          <w:lang w:val="en-US" w:eastAsia="zh-CN" w:bidi="ar-SA"/>
        </w:rPr>
        <w:t>(如有)</w:t>
      </w:r>
    </w:p>
    <w:p w14:paraId="2AB1CC82">
      <w:pPr>
        <w:pStyle w:val="2"/>
        <w:rPr>
          <w:rFonts w:hint="eastAsia" w:ascii="宋体" w:hAnsi="宋体" w:eastAsia="宋体" w:cs="宋体"/>
          <w:color w:val="auto"/>
          <w:kern w:val="2"/>
          <w:sz w:val="24"/>
          <w:szCs w:val="24"/>
          <w:lang w:val="en-US" w:eastAsia="zh-CN" w:bidi="ar-SA"/>
        </w:rPr>
      </w:pPr>
    </w:p>
    <w:p w14:paraId="02EA2004">
      <w:pPr>
        <w:pStyle w:val="3"/>
        <w:rPr>
          <w:rFonts w:hint="eastAsia"/>
          <w:i w:val="0"/>
          <w:iCs/>
          <w:color w:val="auto"/>
        </w:rPr>
      </w:pPr>
      <w:r>
        <w:rPr>
          <w:rFonts w:hint="eastAsia" w:ascii="宋体" w:hAnsi="宋体" w:cs="宋体"/>
          <w:b/>
          <w:bCs/>
          <w:i w:val="0"/>
          <w:iCs/>
          <w:color w:val="auto"/>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1AD7F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63EC421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序号</w:t>
            </w:r>
          </w:p>
        </w:tc>
        <w:tc>
          <w:tcPr>
            <w:tcW w:w="965" w:type="pct"/>
            <w:noWrap w:val="0"/>
            <w:vAlign w:val="center"/>
          </w:tcPr>
          <w:p w14:paraId="0B0F4378">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名称</w:t>
            </w:r>
          </w:p>
        </w:tc>
        <w:tc>
          <w:tcPr>
            <w:tcW w:w="609" w:type="pct"/>
            <w:noWrap w:val="0"/>
            <w:vAlign w:val="center"/>
          </w:tcPr>
          <w:p w14:paraId="7FC74D9E">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品牌</w:t>
            </w:r>
          </w:p>
        </w:tc>
        <w:tc>
          <w:tcPr>
            <w:tcW w:w="874" w:type="pct"/>
            <w:noWrap w:val="0"/>
            <w:vAlign w:val="center"/>
          </w:tcPr>
          <w:p w14:paraId="4C2E8343">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规格型号</w:t>
            </w:r>
          </w:p>
        </w:tc>
        <w:tc>
          <w:tcPr>
            <w:tcW w:w="443" w:type="pct"/>
            <w:noWrap w:val="0"/>
            <w:vAlign w:val="center"/>
          </w:tcPr>
          <w:p w14:paraId="1061AB97">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数量</w:t>
            </w:r>
          </w:p>
        </w:tc>
        <w:tc>
          <w:tcPr>
            <w:tcW w:w="652" w:type="pct"/>
            <w:noWrap w:val="0"/>
            <w:vAlign w:val="center"/>
          </w:tcPr>
          <w:p w14:paraId="1B1DE9F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报价</w:t>
            </w:r>
          </w:p>
        </w:tc>
        <w:tc>
          <w:tcPr>
            <w:tcW w:w="579" w:type="pct"/>
            <w:noWrap w:val="0"/>
            <w:vAlign w:val="center"/>
          </w:tcPr>
          <w:p w14:paraId="68921C2B">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成交价</w:t>
            </w:r>
          </w:p>
        </w:tc>
        <w:tc>
          <w:tcPr>
            <w:tcW w:w="579" w:type="pct"/>
            <w:noWrap w:val="0"/>
            <w:vAlign w:val="center"/>
          </w:tcPr>
          <w:p w14:paraId="6148EA15">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备注</w:t>
            </w:r>
          </w:p>
        </w:tc>
      </w:tr>
      <w:tr w14:paraId="78EB1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4A33CFD8">
            <w:pPr>
              <w:pStyle w:val="31"/>
              <w:jc w:val="center"/>
              <w:rPr>
                <w:rFonts w:ascii="Arial" w:hAnsi="Arial" w:eastAsia="仿宋_GB2312" w:cs="Arial"/>
                <w:color w:val="auto"/>
              </w:rPr>
            </w:pPr>
          </w:p>
        </w:tc>
        <w:tc>
          <w:tcPr>
            <w:tcW w:w="965" w:type="pct"/>
            <w:noWrap w:val="0"/>
            <w:vAlign w:val="center"/>
          </w:tcPr>
          <w:p w14:paraId="62083B89">
            <w:pPr>
              <w:pStyle w:val="31"/>
              <w:jc w:val="center"/>
              <w:rPr>
                <w:rFonts w:ascii="Arial" w:hAnsi="Arial" w:eastAsia="仿宋_GB2312" w:cs="Arial"/>
                <w:color w:val="auto"/>
              </w:rPr>
            </w:pPr>
          </w:p>
        </w:tc>
        <w:tc>
          <w:tcPr>
            <w:tcW w:w="609" w:type="pct"/>
            <w:noWrap w:val="0"/>
            <w:vAlign w:val="center"/>
          </w:tcPr>
          <w:p w14:paraId="059CF72C">
            <w:pPr>
              <w:pStyle w:val="31"/>
              <w:jc w:val="center"/>
              <w:rPr>
                <w:rFonts w:ascii="Arial" w:hAnsi="Arial" w:eastAsia="仿宋_GB2312" w:cs="Arial"/>
                <w:color w:val="auto"/>
              </w:rPr>
            </w:pPr>
          </w:p>
        </w:tc>
        <w:tc>
          <w:tcPr>
            <w:tcW w:w="874" w:type="pct"/>
            <w:noWrap w:val="0"/>
            <w:vAlign w:val="top"/>
          </w:tcPr>
          <w:p w14:paraId="30CAC9C3">
            <w:pPr>
              <w:rPr>
                <w:color w:val="auto"/>
              </w:rPr>
            </w:pPr>
          </w:p>
        </w:tc>
        <w:tc>
          <w:tcPr>
            <w:tcW w:w="443" w:type="pct"/>
            <w:noWrap w:val="0"/>
            <w:vAlign w:val="center"/>
          </w:tcPr>
          <w:p w14:paraId="0D353E95">
            <w:pPr>
              <w:pStyle w:val="31"/>
              <w:jc w:val="center"/>
              <w:rPr>
                <w:rFonts w:ascii="Arial" w:hAnsi="Arial" w:eastAsia="仿宋_GB2312" w:cs="Arial"/>
                <w:color w:val="auto"/>
              </w:rPr>
            </w:pPr>
          </w:p>
        </w:tc>
        <w:tc>
          <w:tcPr>
            <w:tcW w:w="652" w:type="pct"/>
            <w:noWrap w:val="0"/>
            <w:vAlign w:val="center"/>
          </w:tcPr>
          <w:p w14:paraId="4BB5354C">
            <w:pPr>
              <w:pStyle w:val="31"/>
              <w:jc w:val="center"/>
              <w:rPr>
                <w:rFonts w:ascii="Arial" w:hAnsi="Arial" w:eastAsia="仿宋_GB2312" w:cs="Arial"/>
                <w:color w:val="auto"/>
              </w:rPr>
            </w:pPr>
          </w:p>
        </w:tc>
        <w:tc>
          <w:tcPr>
            <w:tcW w:w="579" w:type="pct"/>
            <w:noWrap w:val="0"/>
            <w:vAlign w:val="center"/>
          </w:tcPr>
          <w:p w14:paraId="21411F90">
            <w:pPr>
              <w:pStyle w:val="31"/>
              <w:jc w:val="center"/>
              <w:rPr>
                <w:rFonts w:ascii="Arial" w:hAnsi="Arial" w:eastAsia="仿宋_GB2312" w:cs="Arial"/>
                <w:color w:val="auto"/>
              </w:rPr>
            </w:pPr>
          </w:p>
        </w:tc>
        <w:tc>
          <w:tcPr>
            <w:tcW w:w="579" w:type="pct"/>
            <w:noWrap w:val="0"/>
            <w:vAlign w:val="center"/>
          </w:tcPr>
          <w:p w14:paraId="127F8A97">
            <w:pPr>
              <w:pStyle w:val="31"/>
              <w:jc w:val="center"/>
              <w:rPr>
                <w:rFonts w:ascii="Arial" w:hAnsi="Arial" w:eastAsia="仿宋_GB2312" w:cs="Arial"/>
                <w:color w:val="auto"/>
              </w:rPr>
            </w:pPr>
          </w:p>
        </w:tc>
      </w:tr>
      <w:tr w14:paraId="2EB1E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18676410">
            <w:pPr>
              <w:pStyle w:val="31"/>
              <w:jc w:val="center"/>
              <w:rPr>
                <w:rFonts w:ascii="Arial" w:hAnsi="Arial" w:eastAsia="仿宋_GB2312" w:cs="Arial"/>
                <w:color w:val="auto"/>
              </w:rPr>
            </w:pPr>
          </w:p>
        </w:tc>
        <w:tc>
          <w:tcPr>
            <w:tcW w:w="965" w:type="pct"/>
            <w:noWrap w:val="0"/>
            <w:vAlign w:val="center"/>
          </w:tcPr>
          <w:p w14:paraId="3B8E473E">
            <w:pPr>
              <w:pStyle w:val="31"/>
              <w:jc w:val="center"/>
              <w:rPr>
                <w:rFonts w:ascii="Arial" w:hAnsi="Arial" w:eastAsia="仿宋_GB2312" w:cs="Arial"/>
                <w:color w:val="auto"/>
              </w:rPr>
            </w:pPr>
          </w:p>
        </w:tc>
        <w:tc>
          <w:tcPr>
            <w:tcW w:w="609" w:type="pct"/>
            <w:noWrap w:val="0"/>
            <w:vAlign w:val="center"/>
          </w:tcPr>
          <w:p w14:paraId="296119BF">
            <w:pPr>
              <w:pStyle w:val="31"/>
              <w:jc w:val="center"/>
              <w:rPr>
                <w:rFonts w:ascii="Arial" w:hAnsi="Arial" w:eastAsia="仿宋_GB2312" w:cs="Arial"/>
                <w:color w:val="auto"/>
              </w:rPr>
            </w:pPr>
          </w:p>
        </w:tc>
        <w:tc>
          <w:tcPr>
            <w:tcW w:w="874" w:type="pct"/>
            <w:noWrap w:val="0"/>
            <w:vAlign w:val="top"/>
          </w:tcPr>
          <w:p w14:paraId="3695209B">
            <w:pPr>
              <w:rPr>
                <w:color w:val="auto"/>
              </w:rPr>
            </w:pPr>
          </w:p>
        </w:tc>
        <w:tc>
          <w:tcPr>
            <w:tcW w:w="443" w:type="pct"/>
            <w:noWrap w:val="0"/>
            <w:vAlign w:val="center"/>
          </w:tcPr>
          <w:p w14:paraId="32763834">
            <w:pPr>
              <w:pStyle w:val="31"/>
              <w:jc w:val="center"/>
              <w:rPr>
                <w:rFonts w:ascii="Arial" w:hAnsi="Arial" w:eastAsia="仿宋_GB2312" w:cs="Arial"/>
                <w:color w:val="auto"/>
              </w:rPr>
            </w:pPr>
          </w:p>
        </w:tc>
        <w:tc>
          <w:tcPr>
            <w:tcW w:w="652" w:type="pct"/>
            <w:noWrap w:val="0"/>
            <w:vAlign w:val="center"/>
          </w:tcPr>
          <w:p w14:paraId="04D3D95F">
            <w:pPr>
              <w:pStyle w:val="31"/>
              <w:jc w:val="center"/>
              <w:rPr>
                <w:rFonts w:ascii="Arial" w:hAnsi="Arial" w:eastAsia="仿宋_GB2312" w:cs="Arial"/>
                <w:color w:val="auto"/>
              </w:rPr>
            </w:pPr>
          </w:p>
        </w:tc>
        <w:tc>
          <w:tcPr>
            <w:tcW w:w="579" w:type="pct"/>
            <w:noWrap w:val="0"/>
            <w:vAlign w:val="center"/>
          </w:tcPr>
          <w:p w14:paraId="5D8A13E3">
            <w:pPr>
              <w:pStyle w:val="31"/>
              <w:jc w:val="center"/>
              <w:rPr>
                <w:rFonts w:ascii="Arial" w:hAnsi="Arial" w:eastAsia="仿宋_GB2312" w:cs="Arial"/>
                <w:color w:val="auto"/>
              </w:rPr>
            </w:pPr>
          </w:p>
        </w:tc>
        <w:tc>
          <w:tcPr>
            <w:tcW w:w="579" w:type="pct"/>
            <w:noWrap w:val="0"/>
            <w:vAlign w:val="center"/>
          </w:tcPr>
          <w:p w14:paraId="1EA7F0D7">
            <w:pPr>
              <w:pStyle w:val="31"/>
              <w:jc w:val="center"/>
              <w:rPr>
                <w:rFonts w:ascii="Arial" w:hAnsi="Arial" w:eastAsia="仿宋_GB2312" w:cs="Arial"/>
                <w:color w:val="auto"/>
              </w:rPr>
            </w:pPr>
          </w:p>
        </w:tc>
      </w:tr>
      <w:tr w14:paraId="03E0E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14F9A93A">
            <w:pPr>
              <w:pStyle w:val="31"/>
              <w:jc w:val="center"/>
              <w:rPr>
                <w:rFonts w:ascii="Arial" w:hAnsi="Arial" w:eastAsia="仿宋_GB2312" w:cs="Arial"/>
                <w:color w:val="auto"/>
              </w:rPr>
            </w:pPr>
          </w:p>
        </w:tc>
        <w:tc>
          <w:tcPr>
            <w:tcW w:w="965" w:type="pct"/>
            <w:noWrap w:val="0"/>
            <w:vAlign w:val="center"/>
          </w:tcPr>
          <w:p w14:paraId="7BF36A07">
            <w:pPr>
              <w:pStyle w:val="31"/>
              <w:jc w:val="center"/>
              <w:rPr>
                <w:rFonts w:ascii="Arial" w:hAnsi="Arial" w:eastAsia="仿宋_GB2312" w:cs="Arial"/>
                <w:color w:val="auto"/>
              </w:rPr>
            </w:pPr>
          </w:p>
        </w:tc>
        <w:tc>
          <w:tcPr>
            <w:tcW w:w="609" w:type="pct"/>
            <w:noWrap w:val="0"/>
            <w:vAlign w:val="center"/>
          </w:tcPr>
          <w:p w14:paraId="783F442E">
            <w:pPr>
              <w:pStyle w:val="31"/>
              <w:jc w:val="center"/>
              <w:rPr>
                <w:rFonts w:ascii="Arial" w:hAnsi="Arial" w:eastAsia="仿宋_GB2312" w:cs="Arial"/>
                <w:color w:val="auto"/>
              </w:rPr>
            </w:pPr>
          </w:p>
        </w:tc>
        <w:tc>
          <w:tcPr>
            <w:tcW w:w="874" w:type="pct"/>
            <w:noWrap w:val="0"/>
            <w:vAlign w:val="top"/>
          </w:tcPr>
          <w:p w14:paraId="0E32A3E6">
            <w:pPr>
              <w:rPr>
                <w:color w:val="auto"/>
              </w:rPr>
            </w:pPr>
          </w:p>
        </w:tc>
        <w:tc>
          <w:tcPr>
            <w:tcW w:w="443" w:type="pct"/>
            <w:noWrap w:val="0"/>
            <w:vAlign w:val="center"/>
          </w:tcPr>
          <w:p w14:paraId="25F842B1">
            <w:pPr>
              <w:pStyle w:val="31"/>
              <w:jc w:val="center"/>
              <w:rPr>
                <w:rFonts w:ascii="Arial" w:hAnsi="Arial" w:eastAsia="仿宋_GB2312" w:cs="Arial"/>
                <w:color w:val="auto"/>
              </w:rPr>
            </w:pPr>
          </w:p>
        </w:tc>
        <w:tc>
          <w:tcPr>
            <w:tcW w:w="652" w:type="pct"/>
            <w:noWrap w:val="0"/>
            <w:vAlign w:val="center"/>
          </w:tcPr>
          <w:p w14:paraId="1B820FC5">
            <w:pPr>
              <w:pStyle w:val="31"/>
              <w:jc w:val="center"/>
              <w:rPr>
                <w:rFonts w:ascii="Arial" w:hAnsi="Arial" w:eastAsia="仿宋_GB2312" w:cs="Arial"/>
                <w:color w:val="auto"/>
              </w:rPr>
            </w:pPr>
          </w:p>
        </w:tc>
        <w:tc>
          <w:tcPr>
            <w:tcW w:w="579" w:type="pct"/>
            <w:noWrap w:val="0"/>
            <w:vAlign w:val="center"/>
          </w:tcPr>
          <w:p w14:paraId="70D89D26">
            <w:pPr>
              <w:pStyle w:val="31"/>
              <w:jc w:val="center"/>
              <w:rPr>
                <w:rFonts w:ascii="Arial" w:hAnsi="Arial" w:eastAsia="仿宋_GB2312" w:cs="Arial"/>
                <w:color w:val="auto"/>
              </w:rPr>
            </w:pPr>
          </w:p>
        </w:tc>
        <w:tc>
          <w:tcPr>
            <w:tcW w:w="579" w:type="pct"/>
            <w:noWrap w:val="0"/>
            <w:vAlign w:val="center"/>
          </w:tcPr>
          <w:p w14:paraId="503B07E6">
            <w:pPr>
              <w:pStyle w:val="31"/>
              <w:jc w:val="center"/>
              <w:rPr>
                <w:rFonts w:ascii="Arial" w:hAnsi="Arial" w:eastAsia="仿宋_GB2312" w:cs="Arial"/>
                <w:color w:val="auto"/>
              </w:rPr>
            </w:pPr>
          </w:p>
        </w:tc>
      </w:tr>
      <w:tr w14:paraId="3A5F0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5B27E5FA">
            <w:pPr>
              <w:pStyle w:val="31"/>
              <w:jc w:val="center"/>
              <w:rPr>
                <w:rFonts w:ascii="Arial" w:hAnsi="Arial" w:eastAsia="仿宋_GB2312" w:cs="Arial"/>
                <w:color w:val="auto"/>
              </w:rPr>
            </w:pPr>
          </w:p>
        </w:tc>
        <w:tc>
          <w:tcPr>
            <w:tcW w:w="965" w:type="pct"/>
            <w:noWrap w:val="0"/>
            <w:vAlign w:val="center"/>
          </w:tcPr>
          <w:p w14:paraId="04B04D83">
            <w:pPr>
              <w:pStyle w:val="31"/>
              <w:jc w:val="center"/>
              <w:rPr>
                <w:rFonts w:ascii="Arial" w:hAnsi="Arial" w:eastAsia="仿宋_GB2312" w:cs="Arial"/>
                <w:color w:val="auto"/>
              </w:rPr>
            </w:pPr>
          </w:p>
        </w:tc>
        <w:tc>
          <w:tcPr>
            <w:tcW w:w="609" w:type="pct"/>
            <w:noWrap w:val="0"/>
            <w:vAlign w:val="center"/>
          </w:tcPr>
          <w:p w14:paraId="00C8B759">
            <w:pPr>
              <w:pStyle w:val="31"/>
              <w:jc w:val="center"/>
              <w:rPr>
                <w:rFonts w:ascii="Arial" w:hAnsi="Arial" w:eastAsia="仿宋_GB2312" w:cs="Arial"/>
                <w:color w:val="auto"/>
              </w:rPr>
            </w:pPr>
          </w:p>
        </w:tc>
        <w:tc>
          <w:tcPr>
            <w:tcW w:w="874" w:type="pct"/>
            <w:noWrap w:val="0"/>
            <w:vAlign w:val="top"/>
          </w:tcPr>
          <w:p w14:paraId="7BD22098">
            <w:pPr>
              <w:rPr>
                <w:color w:val="auto"/>
              </w:rPr>
            </w:pPr>
          </w:p>
        </w:tc>
        <w:tc>
          <w:tcPr>
            <w:tcW w:w="443" w:type="pct"/>
            <w:noWrap w:val="0"/>
            <w:vAlign w:val="center"/>
          </w:tcPr>
          <w:p w14:paraId="7CBF59F6">
            <w:pPr>
              <w:pStyle w:val="31"/>
              <w:jc w:val="center"/>
              <w:rPr>
                <w:rFonts w:ascii="Arial" w:hAnsi="Arial" w:eastAsia="仿宋_GB2312" w:cs="Arial"/>
                <w:color w:val="auto"/>
              </w:rPr>
            </w:pPr>
          </w:p>
        </w:tc>
        <w:tc>
          <w:tcPr>
            <w:tcW w:w="652" w:type="pct"/>
            <w:noWrap w:val="0"/>
            <w:vAlign w:val="center"/>
          </w:tcPr>
          <w:p w14:paraId="64AE87A9">
            <w:pPr>
              <w:pStyle w:val="31"/>
              <w:jc w:val="center"/>
              <w:rPr>
                <w:rFonts w:ascii="Arial" w:hAnsi="Arial" w:eastAsia="仿宋_GB2312" w:cs="Arial"/>
                <w:color w:val="auto"/>
              </w:rPr>
            </w:pPr>
          </w:p>
        </w:tc>
        <w:tc>
          <w:tcPr>
            <w:tcW w:w="579" w:type="pct"/>
            <w:noWrap w:val="0"/>
            <w:vAlign w:val="center"/>
          </w:tcPr>
          <w:p w14:paraId="268E1C3C">
            <w:pPr>
              <w:pStyle w:val="31"/>
              <w:jc w:val="center"/>
              <w:rPr>
                <w:rFonts w:ascii="Arial" w:hAnsi="Arial" w:eastAsia="仿宋_GB2312" w:cs="Arial"/>
                <w:color w:val="auto"/>
              </w:rPr>
            </w:pPr>
          </w:p>
        </w:tc>
        <w:tc>
          <w:tcPr>
            <w:tcW w:w="579" w:type="pct"/>
            <w:noWrap w:val="0"/>
            <w:vAlign w:val="center"/>
          </w:tcPr>
          <w:p w14:paraId="5B39E2A1">
            <w:pPr>
              <w:pStyle w:val="31"/>
              <w:jc w:val="center"/>
              <w:rPr>
                <w:rFonts w:ascii="Arial" w:hAnsi="Arial" w:eastAsia="仿宋_GB2312" w:cs="Arial"/>
                <w:color w:val="auto"/>
              </w:rPr>
            </w:pPr>
          </w:p>
        </w:tc>
      </w:tr>
      <w:tr w14:paraId="2FA4A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6FA2419E">
            <w:pPr>
              <w:pStyle w:val="31"/>
              <w:jc w:val="center"/>
              <w:rPr>
                <w:rFonts w:ascii="Arial" w:hAnsi="Arial" w:eastAsia="仿宋_GB2312" w:cs="Arial"/>
                <w:color w:val="auto"/>
              </w:rPr>
            </w:pPr>
          </w:p>
        </w:tc>
        <w:tc>
          <w:tcPr>
            <w:tcW w:w="965" w:type="pct"/>
            <w:noWrap w:val="0"/>
            <w:vAlign w:val="center"/>
          </w:tcPr>
          <w:p w14:paraId="0EFA2758">
            <w:pPr>
              <w:pStyle w:val="31"/>
              <w:jc w:val="center"/>
              <w:rPr>
                <w:rFonts w:ascii="Arial" w:hAnsi="Arial" w:eastAsia="仿宋_GB2312" w:cs="Arial"/>
                <w:color w:val="auto"/>
              </w:rPr>
            </w:pPr>
          </w:p>
        </w:tc>
        <w:tc>
          <w:tcPr>
            <w:tcW w:w="609" w:type="pct"/>
            <w:noWrap w:val="0"/>
            <w:vAlign w:val="center"/>
          </w:tcPr>
          <w:p w14:paraId="4473F62A">
            <w:pPr>
              <w:pStyle w:val="31"/>
              <w:jc w:val="center"/>
              <w:rPr>
                <w:rFonts w:ascii="Arial" w:hAnsi="Arial" w:eastAsia="仿宋_GB2312" w:cs="Arial"/>
                <w:color w:val="auto"/>
              </w:rPr>
            </w:pPr>
          </w:p>
        </w:tc>
        <w:tc>
          <w:tcPr>
            <w:tcW w:w="874" w:type="pct"/>
            <w:noWrap w:val="0"/>
            <w:vAlign w:val="top"/>
          </w:tcPr>
          <w:p w14:paraId="0375BB1C">
            <w:pPr>
              <w:rPr>
                <w:color w:val="auto"/>
              </w:rPr>
            </w:pPr>
          </w:p>
        </w:tc>
        <w:tc>
          <w:tcPr>
            <w:tcW w:w="443" w:type="pct"/>
            <w:noWrap w:val="0"/>
            <w:vAlign w:val="center"/>
          </w:tcPr>
          <w:p w14:paraId="45A7F2D3">
            <w:pPr>
              <w:pStyle w:val="31"/>
              <w:jc w:val="center"/>
              <w:rPr>
                <w:rFonts w:ascii="Arial" w:hAnsi="Arial" w:eastAsia="仿宋_GB2312" w:cs="Arial"/>
                <w:color w:val="auto"/>
              </w:rPr>
            </w:pPr>
          </w:p>
        </w:tc>
        <w:tc>
          <w:tcPr>
            <w:tcW w:w="652" w:type="pct"/>
            <w:noWrap w:val="0"/>
            <w:vAlign w:val="center"/>
          </w:tcPr>
          <w:p w14:paraId="48FA96B3">
            <w:pPr>
              <w:pStyle w:val="31"/>
              <w:jc w:val="center"/>
              <w:rPr>
                <w:rFonts w:ascii="Arial" w:hAnsi="Arial" w:eastAsia="仿宋_GB2312" w:cs="Arial"/>
                <w:color w:val="auto"/>
              </w:rPr>
            </w:pPr>
          </w:p>
        </w:tc>
        <w:tc>
          <w:tcPr>
            <w:tcW w:w="579" w:type="pct"/>
            <w:noWrap w:val="0"/>
            <w:vAlign w:val="center"/>
          </w:tcPr>
          <w:p w14:paraId="51CF3C2A">
            <w:pPr>
              <w:pStyle w:val="31"/>
              <w:jc w:val="center"/>
              <w:rPr>
                <w:rFonts w:ascii="Arial" w:hAnsi="Arial" w:eastAsia="仿宋_GB2312" w:cs="Arial"/>
                <w:color w:val="auto"/>
              </w:rPr>
            </w:pPr>
          </w:p>
        </w:tc>
        <w:tc>
          <w:tcPr>
            <w:tcW w:w="579" w:type="pct"/>
            <w:noWrap w:val="0"/>
            <w:vAlign w:val="center"/>
          </w:tcPr>
          <w:p w14:paraId="1B497DCE">
            <w:pPr>
              <w:pStyle w:val="31"/>
              <w:jc w:val="center"/>
              <w:rPr>
                <w:rFonts w:ascii="Arial" w:hAnsi="Arial" w:eastAsia="仿宋_GB2312" w:cs="Arial"/>
                <w:color w:val="auto"/>
              </w:rPr>
            </w:pPr>
          </w:p>
        </w:tc>
      </w:tr>
      <w:tr w14:paraId="7CF1D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44B8843E">
            <w:pPr>
              <w:pStyle w:val="31"/>
              <w:jc w:val="center"/>
              <w:rPr>
                <w:rFonts w:ascii="Arial" w:hAnsi="Arial" w:eastAsia="仿宋_GB2312" w:cs="Arial"/>
                <w:color w:val="auto"/>
              </w:rPr>
            </w:pPr>
          </w:p>
        </w:tc>
        <w:tc>
          <w:tcPr>
            <w:tcW w:w="965" w:type="pct"/>
            <w:noWrap w:val="0"/>
            <w:vAlign w:val="center"/>
          </w:tcPr>
          <w:p w14:paraId="096D2924">
            <w:pPr>
              <w:pStyle w:val="31"/>
              <w:jc w:val="center"/>
              <w:rPr>
                <w:rFonts w:ascii="Arial" w:hAnsi="Arial" w:eastAsia="仿宋_GB2312" w:cs="Arial"/>
                <w:color w:val="auto"/>
              </w:rPr>
            </w:pPr>
          </w:p>
        </w:tc>
        <w:tc>
          <w:tcPr>
            <w:tcW w:w="609" w:type="pct"/>
            <w:noWrap w:val="0"/>
            <w:vAlign w:val="center"/>
          </w:tcPr>
          <w:p w14:paraId="17463EA3">
            <w:pPr>
              <w:pStyle w:val="31"/>
              <w:jc w:val="center"/>
              <w:rPr>
                <w:rFonts w:ascii="Arial" w:hAnsi="Arial" w:eastAsia="仿宋_GB2312" w:cs="Arial"/>
                <w:color w:val="auto"/>
              </w:rPr>
            </w:pPr>
          </w:p>
        </w:tc>
        <w:tc>
          <w:tcPr>
            <w:tcW w:w="874" w:type="pct"/>
            <w:noWrap w:val="0"/>
            <w:vAlign w:val="top"/>
          </w:tcPr>
          <w:p w14:paraId="372AE9FA">
            <w:pPr>
              <w:rPr>
                <w:color w:val="auto"/>
              </w:rPr>
            </w:pPr>
          </w:p>
        </w:tc>
        <w:tc>
          <w:tcPr>
            <w:tcW w:w="443" w:type="pct"/>
            <w:noWrap w:val="0"/>
            <w:vAlign w:val="center"/>
          </w:tcPr>
          <w:p w14:paraId="0002BC7F">
            <w:pPr>
              <w:pStyle w:val="31"/>
              <w:jc w:val="center"/>
              <w:rPr>
                <w:rFonts w:ascii="Arial" w:hAnsi="Arial" w:eastAsia="仿宋_GB2312" w:cs="Arial"/>
                <w:color w:val="auto"/>
              </w:rPr>
            </w:pPr>
          </w:p>
        </w:tc>
        <w:tc>
          <w:tcPr>
            <w:tcW w:w="652" w:type="pct"/>
            <w:noWrap w:val="0"/>
            <w:vAlign w:val="center"/>
          </w:tcPr>
          <w:p w14:paraId="564364E8">
            <w:pPr>
              <w:pStyle w:val="31"/>
              <w:jc w:val="center"/>
              <w:rPr>
                <w:rFonts w:ascii="Arial" w:hAnsi="Arial" w:eastAsia="仿宋_GB2312" w:cs="Arial"/>
                <w:color w:val="auto"/>
              </w:rPr>
            </w:pPr>
          </w:p>
        </w:tc>
        <w:tc>
          <w:tcPr>
            <w:tcW w:w="579" w:type="pct"/>
            <w:noWrap w:val="0"/>
            <w:vAlign w:val="center"/>
          </w:tcPr>
          <w:p w14:paraId="4293107B">
            <w:pPr>
              <w:pStyle w:val="31"/>
              <w:jc w:val="center"/>
              <w:rPr>
                <w:rFonts w:ascii="Arial" w:hAnsi="Arial" w:eastAsia="仿宋_GB2312" w:cs="Arial"/>
                <w:color w:val="auto"/>
              </w:rPr>
            </w:pPr>
          </w:p>
        </w:tc>
        <w:tc>
          <w:tcPr>
            <w:tcW w:w="579" w:type="pct"/>
            <w:noWrap w:val="0"/>
            <w:vAlign w:val="center"/>
          </w:tcPr>
          <w:p w14:paraId="75584191">
            <w:pPr>
              <w:pStyle w:val="31"/>
              <w:jc w:val="center"/>
              <w:rPr>
                <w:rFonts w:ascii="Arial" w:hAnsi="Arial" w:eastAsia="仿宋_GB2312" w:cs="Arial"/>
                <w:color w:val="auto"/>
              </w:rPr>
            </w:pPr>
          </w:p>
        </w:tc>
      </w:tr>
    </w:tbl>
    <w:p w14:paraId="2F84BD76">
      <w:pPr>
        <w:pStyle w:val="17"/>
        <w:ind w:firstLine="0"/>
        <w:rPr>
          <w:color w:val="auto"/>
        </w:rPr>
      </w:pPr>
    </w:p>
    <w:p w14:paraId="3227A119">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1FE34E0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48E8025C">
      <w:pPr>
        <w:pStyle w:val="57"/>
        <w:rPr>
          <w:rFonts w:hint="eastAsia"/>
          <w:color w:val="auto"/>
        </w:rPr>
      </w:pPr>
    </w:p>
    <w:p w14:paraId="4BA22A08">
      <w:pPr>
        <w:rPr>
          <w:rFonts w:hint="eastAsia"/>
          <w:color w:val="auto"/>
        </w:rPr>
      </w:pPr>
    </w:p>
    <w:p w14:paraId="38F1725F">
      <w:pPr>
        <w:keepNext/>
        <w:keepLines/>
        <w:adjustRightInd w:val="0"/>
        <w:snapToGrid w:val="0"/>
        <w:rPr>
          <w:rFonts w:hint="eastAsia"/>
          <w:color w:val="auto"/>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auto"/>
          <w:sz w:val="24"/>
          <w:szCs w:val="28"/>
        </w:rPr>
        <w:t xml:space="preserve">                                            年     月   日  </w:t>
      </w:r>
    </w:p>
    <w:p w14:paraId="314C0D1B">
      <w:pPr>
        <w:pageBreakBefore/>
        <w:spacing w:line="500" w:lineRule="exact"/>
        <w:outlineLvl w:val="1"/>
        <w:rPr>
          <w:rFonts w:hint="eastAsia" w:cs="宋体"/>
          <w:b/>
          <w:color w:val="auto"/>
          <w:szCs w:val="28"/>
        </w:rPr>
      </w:pPr>
      <w:bookmarkStart w:id="161" w:name="_Toc76373909"/>
      <w:bookmarkStart w:id="162" w:name="_Toc21431"/>
      <w:bookmarkStart w:id="163" w:name="_Toc27306"/>
      <w:bookmarkStart w:id="164" w:name="_Toc9795"/>
      <w:bookmarkStart w:id="165" w:name="_Toc21830"/>
      <w:bookmarkStart w:id="166" w:name="_Toc493178790"/>
      <w:bookmarkStart w:id="167" w:name="_Toc28644"/>
      <w:bookmarkStart w:id="168" w:name="_Toc23879"/>
      <w:bookmarkStart w:id="169" w:name="OLE_LINK12"/>
      <w:r>
        <w:rPr>
          <w:rFonts w:hint="eastAsia" w:cs="宋体"/>
          <w:b/>
          <w:color w:val="auto"/>
          <w:szCs w:val="28"/>
        </w:rPr>
        <w:t>二、</w:t>
      </w:r>
      <w:bookmarkEnd w:id="161"/>
      <w:bookmarkEnd w:id="162"/>
      <w:bookmarkEnd w:id="163"/>
      <w:bookmarkEnd w:id="164"/>
      <w:bookmarkEnd w:id="165"/>
      <w:bookmarkEnd w:id="166"/>
      <w:r>
        <w:rPr>
          <w:rFonts w:hint="eastAsia" w:cs="宋体"/>
          <w:b/>
          <w:color w:val="auto"/>
          <w:szCs w:val="28"/>
        </w:rPr>
        <w:t>技术（质量）文件</w:t>
      </w:r>
      <w:bookmarkEnd w:id="167"/>
      <w:bookmarkEnd w:id="168"/>
    </w:p>
    <w:bookmarkEnd w:id="169"/>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0" w:name="_Toc20875"/>
      <w:bookmarkStart w:id="171" w:name="_Toc20258"/>
      <w:bookmarkStart w:id="172" w:name="_Toc411"/>
      <w:bookmarkStart w:id="173" w:name="_Toc492721039"/>
      <w:bookmarkStart w:id="174" w:name="_Toc16487"/>
      <w:bookmarkStart w:id="175" w:name="_Toc12647"/>
      <w:bookmarkStart w:id="176" w:name="_Toc493178791"/>
      <w:bookmarkStart w:id="177" w:name="_Toc76373910"/>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78" w:name="_Toc26764"/>
      <w:r>
        <w:rPr>
          <w:rFonts w:hint="eastAsia" w:cs="宋体"/>
          <w:b/>
          <w:color w:val="auto"/>
          <w:szCs w:val="28"/>
        </w:rPr>
        <w:t>三、商务文件</w:t>
      </w:r>
      <w:bookmarkEnd w:id="170"/>
      <w:bookmarkEnd w:id="171"/>
      <w:bookmarkEnd w:id="172"/>
      <w:bookmarkEnd w:id="173"/>
      <w:bookmarkEnd w:id="174"/>
      <w:bookmarkEnd w:id="175"/>
      <w:bookmarkEnd w:id="176"/>
      <w:bookmarkEnd w:id="177"/>
      <w:bookmarkEnd w:id="178"/>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 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79" w:name="_Toc19291"/>
      <w:bookmarkStart w:id="180" w:name="_Toc6217"/>
      <w:bookmarkStart w:id="181" w:name="_Toc492721038"/>
      <w:bookmarkStart w:id="182" w:name="_Toc20605"/>
      <w:bookmarkStart w:id="183" w:name="_Toc16151"/>
      <w:bookmarkStart w:id="184" w:name="_Toc4250"/>
      <w:bookmarkStart w:id="185" w:name="_Toc493178793"/>
      <w:bookmarkStart w:id="186" w:name="_Toc76373912"/>
      <w:bookmarkStart w:id="187" w:name="_Toc8925"/>
      <w:r>
        <w:rPr>
          <w:rFonts w:hint="eastAsia" w:cs="宋体"/>
          <w:b/>
          <w:color w:val="auto"/>
          <w:szCs w:val="28"/>
        </w:rPr>
        <w:t>四、资格文件</w:t>
      </w:r>
      <w:bookmarkEnd w:id="179"/>
      <w:bookmarkEnd w:id="180"/>
      <w:bookmarkEnd w:id="181"/>
      <w:bookmarkEnd w:id="182"/>
      <w:bookmarkEnd w:id="183"/>
      <w:bookmarkEnd w:id="184"/>
      <w:bookmarkEnd w:id="185"/>
      <w:bookmarkEnd w:id="186"/>
      <w:bookmarkEnd w:id="187"/>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88" w:name="_Toc27718"/>
      <w:r>
        <w:rPr>
          <w:rFonts w:hint="eastAsia" w:ascii="宋体" w:hAnsi="宋体" w:cs="宋体"/>
          <w:color w:val="auto"/>
        </w:rPr>
        <w:br w:type="column"/>
      </w:r>
      <w:r>
        <w:rPr>
          <w:rFonts w:hint="eastAsia" w:cs="宋体"/>
          <w:b/>
          <w:color w:val="auto"/>
          <w:szCs w:val="28"/>
        </w:rPr>
        <w:t>五、商业活动廉洁经营承诺书</w:t>
      </w:r>
      <w:bookmarkEnd w:id="188"/>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5"/>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47BC1B9F">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29BECE5-FB3B-41BE-A811-E94FFA91E3DF}"/>
  </w:font>
  <w:font w:name="黑体">
    <w:panose1 w:val="02010609060101010101"/>
    <w:charset w:val="86"/>
    <w:family w:val="auto"/>
    <w:pitch w:val="default"/>
    <w:sig w:usb0="800002BF" w:usb1="38CF7CFA" w:usb2="00000016" w:usb3="00000000" w:csb0="00040001" w:csb1="00000000"/>
    <w:embedRegular r:id="rId2" w:fontKey="{C1D291AD-890F-4E7B-B598-C8DF9BF3992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swiss"/>
    <w:pitch w:val="default"/>
    <w:sig w:usb0="00000001" w:usb1="080E0000" w:usb2="00000000" w:usb3="00000000" w:csb0="00040000" w:csb1="00000000"/>
    <w:embedRegular r:id="rId3" w:fontKey="{3D3BDCDA-F6F6-4029-B06E-8E8947042D68}"/>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rial Unicode MS">
    <w:panose1 w:val="020B0604020202020204"/>
    <w:charset w:val="86"/>
    <w:family w:val="roman"/>
    <w:pitch w:val="default"/>
    <w:sig w:usb0="FFFFFFFF" w:usb1="E9FFFFFF" w:usb2="0000003F" w:usb3="00000000" w:csb0="603F01FF" w:csb1="FFFF0000"/>
    <w:embedRegular r:id="rId4" w:fontKey="{A71EA4CD-4F74-459F-B278-8B37D069B84F}"/>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D0C153AD-63CE-462B-98EA-FFCC39C3909B}"/>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embedRegular r:id="rId6" w:fontKey="{83642861-17CA-4CB9-928D-708455422617}"/>
  </w:font>
  <w:font w:name="方正黑体_GBK">
    <w:panose1 w:val="03000509000000000000"/>
    <w:charset w:val="86"/>
    <w:family w:val="script"/>
    <w:pitch w:val="default"/>
    <w:sig w:usb0="00000001" w:usb1="080E0000" w:usb2="00000000" w:usb3="00000000" w:csb0="00040000" w:csb1="00000000"/>
    <w:embedRegular r:id="rId7" w:fontKey="{91D39A17-428A-45F5-B40E-442A40773C08}"/>
  </w:font>
  <w:font w:name="方正小标宋_GBK">
    <w:panose1 w:val="03000509000000000000"/>
    <w:charset w:val="86"/>
    <w:family w:val="script"/>
    <w:pitch w:val="default"/>
    <w:sig w:usb0="00000001" w:usb1="080E0000" w:usb2="00000000" w:usb3="00000000" w:csb0="00040000" w:csb1="00000000"/>
    <w:embedRegular r:id="rId8" w:fontKey="{11885BC1-1403-438A-A441-EF80B28FB5F5}"/>
  </w:font>
  <w:font w:name="微软雅黑">
    <w:panose1 w:val="020B0503020204020204"/>
    <w:charset w:val="86"/>
    <w:family w:val="swiss"/>
    <w:pitch w:val="default"/>
    <w:sig w:usb0="80000287" w:usb1="2ACF3C50" w:usb2="00000016" w:usb3="00000000" w:csb0="0004001F" w:csb1="00000000"/>
    <w:embedRegular r:id="rId9" w:fontKey="{CA0BFA11-3570-42B1-8CD0-212A9BB70D20}"/>
  </w:font>
  <w:font w:name="仿宋">
    <w:panose1 w:val="02010609060101010101"/>
    <w:charset w:val="86"/>
    <w:family w:val="modern"/>
    <w:pitch w:val="default"/>
    <w:sig w:usb0="800002BF" w:usb1="38CF7CFA" w:usb2="00000016" w:usb3="00000000" w:csb0="00040001" w:csb1="00000000"/>
    <w:embedRegular r:id="rId10" w:fontKey="{44908A50-0420-465A-8C7D-DF13D1A6B250}"/>
  </w:font>
  <w:font w:name="WPSEMBED73">
    <w:panose1 w:val="03000509000000000000"/>
    <w:charset w:val="86"/>
    <w:family w:val="auto"/>
    <w:pitch w:val="default"/>
    <w:sig w:usb0="00000001" w:usb1="080E0000" w:usb2="00000000" w:usb3="00000000" w:csb0="00040000" w:csb1="00000000"/>
  </w:font>
  <w:font w:name="WPSEMBED74">
    <w:panose1 w:val="03000509000000000000"/>
    <w:charset w:val="86"/>
    <w:family w:val="auto"/>
    <w:pitch w:val="default"/>
    <w:sig w:usb0="00000001" w:usb1="080E0000" w:usb2="00000000" w:usb3="00000000" w:csb0="00040000" w:csb1="00000000"/>
  </w:font>
  <w:font w:name="WPSEMBED71">
    <w:panose1 w:val="02010609030101010101"/>
    <w:charset w:val="86"/>
    <w:family w:val="auto"/>
    <w:pitch w:val="default"/>
    <w:sig w:usb0="00000001" w:usb1="080E0000" w:usb2="00000000" w:usb3="00000000" w:csb0="00040000" w:csb1="00000000"/>
  </w:font>
  <w:font w:name="WPSEMBED75">
    <w:panose1 w:val="03000509000000000000"/>
    <w:charset w:val="86"/>
    <w:family w:val="auto"/>
    <w:pitch w:val="default"/>
    <w:sig w:usb0="00000001" w:usb1="080E0000" w:usb2="00000000" w:usb3="00000000" w:csb0="00040000" w:csb1="00000000"/>
  </w:font>
  <w:font w:name="WPSEMBED72">
    <w:panose1 w:val="020B0604020202020204"/>
    <w:charset w:val="86"/>
    <w:family w:val="auto"/>
    <w:pitch w:val="default"/>
    <w:sig w:usb0="FFFFFFFF" w:usb1="E9FFFFFF" w:usb2="0000003F" w:usb3="00000000" w:csb0="603F01FF" w:csb1="FFFF0000"/>
  </w:font>
  <w:font w:name="KSOF3D47F291">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47E9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3A3A"/>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4271AE"/>
    <w:rsid w:val="027C5214"/>
    <w:rsid w:val="02AC07E3"/>
    <w:rsid w:val="02E45A44"/>
    <w:rsid w:val="02FE20CD"/>
    <w:rsid w:val="0328467E"/>
    <w:rsid w:val="035C3044"/>
    <w:rsid w:val="03A644DC"/>
    <w:rsid w:val="03B24C65"/>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F7F4E"/>
    <w:rsid w:val="06537889"/>
    <w:rsid w:val="067E7172"/>
    <w:rsid w:val="068F1F89"/>
    <w:rsid w:val="06A43CD8"/>
    <w:rsid w:val="06B451CD"/>
    <w:rsid w:val="070E48A8"/>
    <w:rsid w:val="073C1B5F"/>
    <w:rsid w:val="073C40D7"/>
    <w:rsid w:val="07411D23"/>
    <w:rsid w:val="07436627"/>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D52009"/>
    <w:rsid w:val="09DB54E7"/>
    <w:rsid w:val="09EC78BF"/>
    <w:rsid w:val="0A0E31A7"/>
    <w:rsid w:val="0A140428"/>
    <w:rsid w:val="0A7D7072"/>
    <w:rsid w:val="0A8377B3"/>
    <w:rsid w:val="0AB36B90"/>
    <w:rsid w:val="0ACA6D38"/>
    <w:rsid w:val="0AD342F0"/>
    <w:rsid w:val="0B196157"/>
    <w:rsid w:val="0B2625DD"/>
    <w:rsid w:val="0B4E2213"/>
    <w:rsid w:val="0B6D6870"/>
    <w:rsid w:val="0B892BB1"/>
    <w:rsid w:val="0BA9238E"/>
    <w:rsid w:val="0BB023D2"/>
    <w:rsid w:val="0BC051FE"/>
    <w:rsid w:val="0BCD3A99"/>
    <w:rsid w:val="0C48085D"/>
    <w:rsid w:val="0C5F69A3"/>
    <w:rsid w:val="0C715203"/>
    <w:rsid w:val="0C9150D4"/>
    <w:rsid w:val="0C995743"/>
    <w:rsid w:val="0D33558B"/>
    <w:rsid w:val="0D443F35"/>
    <w:rsid w:val="0D595810"/>
    <w:rsid w:val="0D951B17"/>
    <w:rsid w:val="0DD156F8"/>
    <w:rsid w:val="0DEA1BCB"/>
    <w:rsid w:val="0DEB5944"/>
    <w:rsid w:val="0E1D4451"/>
    <w:rsid w:val="0E211365"/>
    <w:rsid w:val="0E215089"/>
    <w:rsid w:val="0E2D4070"/>
    <w:rsid w:val="0E386E38"/>
    <w:rsid w:val="0E701B98"/>
    <w:rsid w:val="0E772366"/>
    <w:rsid w:val="0E9C0390"/>
    <w:rsid w:val="0ED65CAC"/>
    <w:rsid w:val="0EFE3455"/>
    <w:rsid w:val="0F293464"/>
    <w:rsid w:val="0F297032"/>
    <w:rsid w:val="0F2A424A"/>
    <w:rsid w:val="0F730F48"/>
    <w:rsid w:val="0F732090"/>
    <w:rsid w:val="0F9D3E41"/>
    <w:rsid w:val="0FB512B5"/>
    <w:rsid w:val="0FC21262"/>
    <w:rsid w:val="0FD06B9F"/>
    <w:rsid w:val="0FF07A4E"/>
    <w:rsid w:val="10041F0A"/>
    <w:rsid w:val="103E1A08"/>
    <w:rsid w:val="10A45717"/>
    <w:rsid w:val="10AC5161"/>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E52DC4"/>
    <w:rsid w:val="13F02804"/>
    <w:rsid w:val="140D0766"/>
    <w:rsid w:val="147246C9"/>
    <w:rsid w:val="148B50A7"/>
    <w:rsid w:val="14922675"/>
    <w:rsid w:val="156B048A"/>
    <w:rsid w:val="158D4B19"/>
    <w:rsid w:val="15BE1509"/>
    <w:rsid w:val="15E2587E"/>
    <w:rsid w:val="16B60DAC"/>
    <w:rsid w:val="16B76298"/>
    <w:rsid w:val="16BB4262"/>
    <w:rsid w:val="16D01B7A"/>
    <w:rsid w:val="16D71809"/>
    <w:rsid w:val="1755564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52B54"/>
    <w:rsid w:val="1A9768B9"/>
    <w:rsid w:val="1A99565E"/>
    <w:rsid w:val="1AC54203"/>
    <w:rsid w:val="1B1B26AB"/>
    <w:rsid w:val="1B7900EB"/>
    <w:rsid w:val="1B972C67"/>
    <w:rsid w:val="1BA22B7C"/>
    <w:rsid w:val="1BC02864"/>
    <w:rsid w:val="1BC2379D"/>
    <w:rsid w:val="1BD45152"/>
    <w:rsid w:val="1BF41E67"/>
    <w:rsid w:val="1BFB7B06"/>
    <w:rsid w:val="1C273FEB"/>
    <w:rsid w:val="1C5841A4"/>
    <w:rsid w:val="1C782A98"/>
    <w:rsid w:val="1C9C4DED"/>
    <w:rsid w:val="1CAE4714"/>
    <w:rsid w:val="1CCD5614"/>
    <w:rsid w:val="1CE75D6B"/>
    <w:rsid w:val="1CF06AD2"/>
    <w:rsid w:val="1D4B1F5B"/>
    <w:rsid w:val="1D905BC0"/>
    <w:rsid w:val="1DDC235C"/>
    <w:rsid w:val="1E0868EA"/>
    <w:rsid w:val="1E2E192B"/>
    <w:rsid w:val="1E3649B9"/>
    <w:rsid w:val="1E37496F"/>
    <w:rsid w:val="1E770B63"/>
    <w:rsid w:val="1E9952FE"/>
    <w:rsid w:val="1EB902E5"/>
    <w:rsid w:val="1EBC0009"/>
    <w:rsid w:val="1EDF1AE0"/>
    <w:rsid w:val="1EE405B4"/>
    <w:rsid w:val="1F264D74"/>
    <w:rsid w:val="1F3D184A"/>
    <w:rsid w:val="1F4924CA"/>
    <w:rsid w:val="1F5618CC"/>
    <w:rsid w:val="1F6068FA"/>
    <w:rsid w:val="1F954680"/>
    <w:rsid w:val="1FC059EA"/>
    <w:rsid w:val="1FF24910"/>
    <w:rsid w:val="1FF87B4F"/>
    <w:rsid w:val="1FFB37C4"/>
    <w:rsid w:val="20112FE8"/>
    <w:rsid w:val="204C2272"/>
    <w:rsid w:val="207F49AA"/>
    <w:rsid w:val="20971013"/>
    <w:rsid w:val="20CA7543"/>
    <w:rsid w:val="211B40C5"/>
    <w:rsid w:val="215869F4"/>
    <w:rsid w:val="216252EF"/>
    <w:rsid w:val="217A2796"/>
    <w:rsid w:val="217B1C68"/>
    <w:rsid w:val="21DC692A"/>
    <w:rsid w:val="21F61A98"/>
    <w:rsid w:val="21FC1A76"/>
    <w:rsid w:val="229A1929"/>
    <w:rsid w:val="22C40B4F"/>
    <w:rsid w:val="22E24041"/>
    <w:rsid w:val="22EC1AEA"/>
    <w:rsid w:val="236118E9"/>
    <w:rsid w:val="236817F3"/>
    <w:rsid w:val="23D314CE"/>
    <w:rsid w:val="241412F8"/>
    <w:rsid w:val="2433701E"/>
    <w:rsid w:val="24396D35"/>
    <w:rsid w:val="244D0366"/>
    <w:rsid w:val="2483014E"/>
    <w:rsid w:val="24C70583"/>
    <w:rsid w:val="24EC5DD1"/>
    <w:rsid w:val="24FE0AAE"/>
    <w:rsid w:val="250133CD"/>
    <w:rsid w:val="2524556B"/>
    <w:rsid w:val="25245D2F"/>
    <w:rsid w:val="25494FC2"/>
    <w:rsid w:val="257D44A6"/>
    <w:rsid w:val="25A477D9"/>
    <w:rsid w:val="25A53AC0"/>
    <w:rsid w:val="25D94FA6"/>
    <w:rsid w:val="25E140B7"/>
    <w:rsid w:val="25EB1060"/>
    <w:rsid w:val="26266BF8"/>
    <w:rsid w:val="262D044F"/>
    <w:rsid w:val="264E03C6"/>
    <w:rsid w:val="264F7508"/>
    <w:rsid w:val="2650413E"/>
    <w:rsid w:val="26A22CFA"/>
    <w:rsid w:val="26A52B54"/>
    <w:rsid w:val="26AC1A34"/>
    <w:rsid w:val="26B57F18"/>
    <w:rsid w:val="26B9616A"/>
    <w:rsid w:val="26BF5BC3"/>
    <w:rsid w:val="26CA2142"/>
    <w:rsid w:val="26D72E0A"/>
    <w:rsid w:val="26DB4D3A"/>
    <w:rsid w:val="26DC3C24"/>
    <w:rsid w:val="26FB22FC"/>
    <w:rsid w:val="26FC6074"/>
    <w:rsid w:val="27106806"/>
    <w:rsid w:val="27252DB6"/>
    <w:rsid w:val="276B0AF6"/>
    <w:rsid w:val="278047B0"/>
    <w:rsid w:val="27A05DC8"/>
    <w:rsid w:val="27A57760"/>
    <w:rsid w:val="27B6740C"/>
    <w:rsid w:val="27D112AE"/>
    <w:rsid w:val="28155093"/>
    <w:rsid w:val="281F201A"/>
    <w:rsid w:val="28241E7D"/>
    <w:rsid w:val="2853072B"/>
    <w:rsid w:val="28681C13"/>
    <w:rsid w:val="28930FA7"/>
    <w:rsid w:val="289F669F"/>
    <w:rsid w:val="2955739D"/>
    <w:rsid w:val="299C670B"/>
    <w:rsid w:val="299F1664"/>
    <w:rsid w:val="29C260B1"/>
    <w:rsid w:val="29D67050"/>
    <w:rsid w:val="29DD03DE"/>
    <w:rsid w:val="2A1059CA"/>
    <w:rsid w:val="2A417CC7"/>
    <w:rsid w:val="2A61691A"/>
    <w:rsid w:val="2AA32FDC"/>
    <w:rsid w:val="2ABA73DE"/>
    <w:rsid w:val="2ACA2711"/>
    <w:rsid w:val="2AF57FA3"/>
    <w:rsid w:val="2AFE060C"/>
    <w:rsid w:val="2B0C5FF2"/>
    <w:rsid w:val="2B285A09"/>
    <w:rsid w:val="2B3264F9"/>
    <w:rsid w:val="2B48517B"/>
    <w:rsid w:val="2B723D14"/>
    <w:rsid w:val="2B8B0759"/>
    <w:rsid w:val="2B9B21BC"/>
    <w:rsid w:val="2BA52AAD"/>
    <w:rsid w:val="2BA91CBB"/>
    <w:rsid w:val="2BB51860"/>
    <w:rsid w:val="2BE13314"/>
    <w:rsid w:val="2C0B6D4E"/>
    <w:rsid w:val="2C1D3DF7"/>
    <w:rsid w:val="2C6F14EE"/>
    <w:rsid w:val="2C73502A"/>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7A4C95"/>
    <w:rsid w:val="30A734F4"/>
    <w:rsid w:val="30A91101"/>
    <w:rsid w:val="30A91DD9"/>
    <w:rsid w:val="30B30929"/>
    <w:rsid w:val="30D47F19"/>
    <w:rsid w:val="30DC4F4C"/>
    <w:rsid w:val="315076E8"/>
    <w:rsid w:val="315B58E2"/>
    <w:rsid w:val="315F792B"/>
    <w:rsid w:val="318850D4"/>
    <w:rsid w:val="31AD2A0C"/>
    <w:rsid w:val="31B934DF"/>
    <w:rsid w:val="31BF65A8"/>
    <w:rsid w:val="31C0486E"/>
    <w:rsid w:val="32240245"/>
    <w:rsid w:val="322A64C1"/>
    <w:rsid w:val="322E3DE8"/>
    <w:rsid w:val="32777805"/>
    <w:rsid w:val="328C18BE"/>
    <w:rsid w:val="32FD2138"/>
    <w:rsid w:val="330F782B"/>
    <w:rsid w:val="331C3D26"/>
    <w:rsid w:val="33242BDA"/>
    <w:rsid w:val="3344118A"/>
    <w:rsid w:val="33585719"/>
    <w:rsid w:val="33871A8A"/>
    <w:rsid w:val="338F274A"/>
    <w:rsid w:val="33AA1331"/>
    <w:rsid w:val="34201B1F"/>
    <w:rsid w:val="34500549"/>
    <w:rsid w:val="34620C63"/>
    <w:rsid w:val="34E765FA"/>
    <w:rsid w:val="354237EC"/>
    <w:rsid w:val="355234B6"/>
    <w:rsid w:val="3556260B"/>
    <w:rsid w:val="35812566"/>
    <w:rsid w:val="35D02BA5"/>
    <w:rsid w:val="35DC4035"/>
    <w:rsid w:val="35DF7E81"/>
    <w:rsid w:val="363870C8"/>
    <w:rsid w:val="367D7C3A"/>
    <w:rsid w:val="368C2F70"/>
    <w:rsid w:val="36A278CA"/>
    <w:rsid w:val="36AD4DCD"/>
    <w:rsid w:val="36BB6393"/>
    <w:rsid w:val="36D41B00"/>
    <w:rsid w:val="372D5444"/>
    <w:rsid w:val="37785854"/>
    <w:rsid w:val="378639D6"/>
    <w:rsid w:val="37A64AE0"/>
    <w:rsid w:val="37D34FF4"/>
    <w:rsid w:val="37FA215C"/>
    <w:rsid w:val="38245A2E"/>
    <w:rsid w:val="384C3A18"/>
    <w:rsid w:val="38590B6E"/>
    <w:rsid w:val="38C604F2"/>
    <w:rsid w:val="38D155B2"/>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FC6197"/>
    <w:rsid w:val="3CFE449C"/>
    <w:rsid w:val="3D167A38"/>
    <w:rsid w:val="3D46457E"/>
    <w:rsid w:val="3D6562C9"/>
    <w:rsid w:val="3D7C0C2C"/>
    <w:rsid w:val="3D8C1AF2"/>
    <w:rsid w:val="3D9D2B66"/>
    <w:rsid w:val="3DFF7CEF"/>
    <w:rsid w:val="3E271643"/>
    <w:rsid w:val="3E2E0DA2"/>
    <w:rsid w:val="3E32228E"/>
    <w:rsid w:val="3E860BED"/>
    <w:rsid w:val="3E88226F"/>
    <w:rsid w:val="3EA6703C"/>
    <w:rsid w:val="3EBF0F87"/>
    <w:rsid w:val="3EDC25BB"/>
    <w:rsid w:val="3F473ED8"/>
    <w:rsid w:val="3F4F20E4"/>
    <w:rsid w:val="3F50703F"/>
    <w:rsid w:val="3F766DD5"/>
    <w:rsid w:val="3F9E7896"/>
    <w:rsid w:val="3FB44627"/>
    <w:rsid w:val="3FBA0F5B"/>
    <w:rsid w:val="3FCB2073"/>
    <w:rsid w:val="3FCF3ECE"/>
    <w:rsid w:val="3FF531FB"/>
    <w:rsid w:val="406B009A"/>
    <w:rsid w:val="40763FCB"/>
    <w:rsid w:val="40B3559D"/>
    <w:rsid w:val="40BB2DD0"/>
    <w:rsid w:val="40DB00D8"/>
    <w:rsid w:val="41326E0A"/>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3D40D79"/>
    <w:rsid w:val="44460609"/>
    <w:rsid w:val="444F1A18"/>
    <w:rsid w:val="447D214A"/>
    <w:rsid w:val="4484797D"/>
    <w:rsid w:val="449B0822"/>
    <w:rsid w:val="44B47048"/>
    <w:rsid w:val="44C07BF6"/>
    <w:rsid w:val="44E81CBA"/>
    <w:rsid w:val="45224346"/>
    <w:rsid w:val="45335FE1"/>
    <w:rsid w:val="4564244F"/>
    <w:rsid w:val="458A2D7F"/>
    <w:rsid w:val="45B70BAF"/>
    <w:rsid w:val="45BA1277"/>
    <w:rsid w:val="45D67D64"/>
    <w:rsid w:val="45DD70CF"/>
    <w:rsid w:val="45F045C8"/>
    <w:rsid w:val="460A2104"/>
    <w:rsid w:val="461D2F1B"/>
    <w:rsid w:val="46421AD4"/>
    <w:rsid w:val="465C7CB5"/>
    <w:rsid w:val="466C691A"/>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2769CD"/>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4C6847"/>
    <w:rsid w:val="4A534079"/>
    <w:rsid w:val="4A851D59"/>
    <w:rsid w:val="4ADC69F3"/>
    <w:rsid w:val="4ADF590D"/>
    <w:rsid w:val="4B58746D"/>
    <w:rsid w:val="4B837D34"/>
    <w:rsid w:val="4B962957"/>
    <w:rsid w:val="4BB5582F"/>
    <w:rsid w:val="4BD118E0"/>
    <w:rsid w:val="4BDE3E16"/>
    <w:rsid w:val="4BE372DC"/>
    <w:rsid w:val="4BEC2CBC"/>
    <w:rsid w:val="4C327859"/>
    <w:rsid w:val="4CC72D98"/>
    <w:rsid w:val="4CD90133"/>
    <w:rsid w:val="4CE83F1B"/>
    <w:rsid w:val="4D13189E"/>
    <w:rsid w:val="4D5D07CE"/>
    <w:rsid w:val="4DBB2C37"/>
    <w:rsid w:val="4DBE4874"/>
    <w:rsid w:val="4DBF7158"/>
    <w:rsid w:val="4DDD755C"/>
    <w:rsid w:val="4E0E0A20"/>
    <w:rsid w:val="4E326C84"/>
    <w:rsid w:val="4E692DB2"/>
    <w:rsid w:val="4E6A0F63"/>
    <w:rsid w:val="4E6D76D3"/>
    <w:rsid w:val="4EA8070C"/>
    <w:rsid w:val="4EBA5E8A"/>
    <w:rsid w:val="4ECE0172"/>
    <w:rsid w:val="4F1E2ED6"/>
    <w:rsid w:val="4F5D5052"/>
    <w:rsid w:val="4F6463E1"/>
    <w:rsid w:val="4F6552B7"/>
    <w:rsid w:val="4F6B3C13"/>
    <w:rsid w:val="4FDB1F7A"/>
    <w:rsid w:val="50385B91"/>
    <w:rsid w:val="503F0BFC"/>
    <w:rsid w:val="507C6E09"/>
    <w:rsid w:val="50962F12"/>
    <w:rsid w:val="50DB26D2"/>
    <w:rsid w:val="5106687C"/>
    <w:rsid w:val="51154388"/>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743B33"/>
    <w:rsid w:val="558275C0"/>
    <w:rsid w:val="55B7080C"/>
    <w:rsid w:val="55D27F53"/>
    <w:rsid w:val="55D87B28"/>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C6053D"/>
    <w:rsid w:val="591F781C"/>
    <w:rsid w:val="59314528"/>
    <w:rsid w:val="59374B66"/>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6A2566"/>
    <w:rsid w:val="5B8A1F1F"/>
    <w:rsid w:val="5BA66C84"/>
    <w:rsid w:val="5BB8371C"/>
    <w:rsid w:val="5C6D0DBF"/>
    <w:rsid w:val="5C7659A5"/>
    <w:rsid w:val="5C820917"/>
    <w:rsid w:val="5C961BA3"/>
    <w:rsid w:val="5CA7535F"/>
    <w:rsid w:val="5CB2531C"/>
    <w:rsid w:val="5CC67BF9"/>
    <w:rsid w:val="5CEB1EEF"/>
    <w:rsid w:val="5D013021"/>
    <w:rsid w:val="5D316CFC"/>
    <w:rsid w:val="5D8F4F70"/>
    <w:rsid w:val="5D910810"/>
    <w:rsid w:val="5DB2461B"/>
    <w:rsid w:val="5E1D4C3B"/>
    <w:rsid w:val="5E3C5408"/>
    <w:rsid w:val="5E410EE7"/>
    <w:rsid w:val="5E4A5266"/>
    <w:rsid w:val="5E79028D"/>
    <w:rsid w:val="5E79352B"/>
    <w:rsid w:val="5EBB4769"/>
    <w:rsid w:val="5EBC2507"/>
    <w:rsid w:val="5ED45FB3"/>
    <w:rsid w:val="5ED5716B"/>
    <w:rsid w:val="5EF157B7"/>
    <w:rsid w:val="5F074FDA"/>
    <w:rsid w:val="5F253C57"/>
    <w:rsid w:val="5F2C33BA"/>
    <w:rsid w:val="5F6E01D2"/>
    <w:rsid w:val="5F722EFD"/>
    <w:rsid w:val="5F753F44"/>
    <w:rsid w:val="5F9E5EA4"/>
    <w:rsid w:val="5F9F6AB7"/>
    <w:rsid w:val="5FB1765F"/>
    <w:rsid w:val="5FC90A65"/>
    <w:rsid w:val="60097918"/>
    <w:rsid w:val="60320168"/>
    <w:rsid w:val="604F4F31"/>
    <w:rsid w:val="60870181"/>
    <w:rsid w:val="60925BF2"/>
    <w:rsid w:val="60A23FED"/>
    <w:rsid w:val="60E94998"/>
    <w:rsid w:val="61314F95"/>
    <w:rsid w:val="61623540"/>
    <w:rsid w:val="616B1851"/>
    <w:rsid w:val="617C1E18"/>
    <w:rsid w:val="624A0A6B"/>
    <w:rsid w:val="624B2E2A"/>
    <w:rsid w:val="625A315D"/>
    <w:rsid w:val="627529DC"/>
    <w:rsid w:val="629417F0"/>
    <w:rsid w:val="631D5A96"/>
    <w:rsid w:val="63212E5F"/>
    <w:rsid w:val="634E3CB8"/>
    <w:rsid w:val="637864A7"/>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30D48"/>
    <w:rsid w:val="666D7E19"/>
    <w:rsid w:val="6692787F"/>
    <w:rsid w:val="66927C84"/>
    <w:rsid w:val="66AB0941"/>
    <w:rsid w:val="66C21420"/>
    <w:rsid w:val="66C33EDD"/>
    <w:rsid w:val="66C51A03"/>
    <w:rsid w:val="66C8466B"/>
    <w:rsid w:val="66CA7019"/>
    <w:rsid w:val="66DF5748"/>
    <w:rsid w:val="671F2D63"/>
    <w:rsid w:val="672F1676"/>
    <w:rsid w:val="67606D46"/>
    <w:rsid w:val="6762365F"/>
    <w:rsid w:val="678575B2"/>
    <w:rsid w:val="67B473BE"/>
    <w:rsid w:val="67F00FCB"/>
    <w:rsid w:val="68270DC7"/>
    <w:rsid w:val="686D346F"/>
    <w:rsid w:val="6878475E"/>
    <w:rsid w:val="68911619"/>
    <w:rsid w:val="68987360"/>
    <w:rsid w:val="68EE53C3"/>
    <w:rsid w:val="690D6222"/>
    <w:rsid w:val="6910701A"/>
    <w:rsid w:val="691B4A3D"/>
    <w:rsid w:val="69286279"/>
    <w:rsid w:val="69485746"/>
    <w:rsid w:val="695B4D2F"/>
    <w:rsid w:val="695B664F"/>
    <w:rsid w:val="69B566C5"/>
    <w:rsid w:val="69B739BE"/>
    <w:rsid w:val="69F525FF"/>
    <w:rsid w:val="6A340CE3"/>
    <w:rsid w:val="6A4073A3"/>
    <w:rsid w:val="6A464C09"/>
    <w:rsid w:val="6A6662F1"/>
    <w:rsid w:val="6A703F54"/>
    <w:rsid w:val="6A814E63"/>
    <w:rsid w:val="6A843983"/>
    <w:rsid w:val="6A8C759C"/>
    <w:rsid w:val="6A905041"/>
    <w:rsid w:val="6AAA73EA"/>
    <w:rsid w:val="6AAD07CD"/>
    <w:rsid w:val="6AAD6A36"/>
    <w:rsid w:val="6ACE4BFE"/>
    <w:rsid w:val="6ADD6E0F"/>
    <w:rsid w:val="6AFF7F81"/>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AC46A0"/>
    <w:rsid w:val="6EEA46FD"/>
    <w:rsid w:val="6EFD7CFF"/>
    <w:rsid w:val="6F0F4163"/>
    <w:rsid w:val="6F2A1881"/>
    <w:rsid w:val="6F2C44FC"/>
    <w:rsid w:val="6F477AF3"/>
    <w:rsid w:val="6FA66085"/>
    <w:rsid w:val="6FCD2479"/>
    <w:rsid w:val="6FD13561"/>
    <w:rsid w:val="6FEA4288"/>
    <w:rsid w:val="706F343A"/>
    <w:rsid w:val="70741C73"/>
    <w:rsid w:val="70B12840"/>
    <w:rsid w:val="70C154D4"/>
    <w:rsid w:val="70D2369A"/>
    <w:rsid w:val="70D53553"/>
    <w:rsid w:val="70EE5FFA"/>
    <w:rsid w:val="70F250FA"/>
    <w:rsid w:val="71575410"/>
    <w:rsid w:val="7157594D"/>
    <w:rsid w:val="71663DE2"/>
    <w:rsid w:val="716F2008"/>
    <w:rsid w:val="718129CA"/>
    <w:rsid w:val="71A52D40"/>
    <w:rsid w:val="71A62431"/>
    <w:rsid w:val="71D01493"/>
    <w:rsid w:val="71D13952"/>
    <w:rsid w:val="722B0B6F"/>
    <w:rsid w:val="723809FA"/>
    <w:rsid w:val="724461BD"/>
    <w:rsid w:val="72737630"/>
    <w:rsid w:val="72A058EB"/>
    <w:rsid w:val="72BA3161"/>
    <w:rsid w:val="730D4E5A"/>
    <w:rsid w:val="730E1E7E"/>
    <w:rsid w:val="732612AC"/>
    <w:rsid w:val="736D6EE8"/>
    <w:rsid w:val="7389329F"/>
    <w:rsid w:val="739E7864"/>
    <w:rsid w:val="73C208AB"/>
    <w:rsid w:val="73E24B69"/>
    <w:rsid w:val="74385FAF"/>
    <w:rsid w:val="74C774D2"/>
    <w:rsid w:val="74CF1C9F"/>
    <w:rsid w:val="75083F0D"/>
    <w:rsid w:val="75086ADE"/>
    <w:rsid w:val="75370412"/>
    <w:rsid w:val="754F1272"/>
    <w:rsid w:val="75661F23"/>
    <w:rsid w:val="758D672D"/>
    <w:rsid w:val="75C153E8"/>
    <w:rsid w:val="75E64D79"/>
    <w:rsid w:val="75FE5772"/>
    <w:rsid w:val="76045978"/>
    <w:rsid w:val="76084AC6"/>
    <w:rsid w:val="761F7088"/>
    <w:rsid w:val="76373F9F"/>
    <w:rsid w:val="76562678"/>
    <w:rsid w:val="76782096"/>
    <w:rsid w:val="769A5A66"/>
    <w:rsid w:val="76AA29C3"/>
    <w:rsid w:val="76D178BC"/>
    <w:rsid w:val="76E01F41"/>
    <w:rsid w:val="77461551"/>
    <w:rsid w:val="7780719D"/>
    <w:rsid w:val="77B23127"/>
    <w:rsid w:val="77D052FC"/>
    <w:rsid w:val="781535E1"/>
    <w:rsid w:val="782B3415"/>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A0C7938"/>
    <w:rsid w:val="7A147179"/>
    <w:rsid w:val="7A28432B"/>
    <w:rsid w:val="7A454EDD"/>
    <w:rsid w:val="7A6A4943"/>
    <w:rsid w:val="7A747570"/>
    <w:rsid w:val="7A9C7455"/>
    <w:rsid w:val="7AAD70B0"/>
    <w:rsid w:val="7AD4626C"/>
    <w:rsid w:val="7ADD6F62"/>
    <w:rsid w:val="7B42562A"/>
    <w:rsid w:val="7B4C229B"/>
    <w:rsid w:val="7C046963"/>
    <w:rsid w:val="7C297682"/>
    <w:rsid w:val="7C456F6D"/>
    <w:rsid w:val="7C544A6F"/>
    <w:rsid w:val="7C925001"/>
    <w:rsid w:val="7CA85F50"/>
    <w:rsid w:val="7CBA4D22"/>
    <w:rsid w:val="7CD4168E"/>
    <w:rsid w:val="7CF44998"/>
    <w:rsid w:val="7CF535F7"/>
    <w:rsid w:val="7D3C24FE"/>
    <w:rsid w:val="7D4B7D6D"/>
    <w:rsid w:val="7D690EE2"/>
    <w:rsid w:val="7D7B6DFB"/>
    <w:rsid w:val="7DBD2FDC"/>
    <w:rsid w:val="7DBF4A67"/>
    <w:rsid w:val="7DCB394B"/>
    <w:rsid w:val="7E195E1B"/>
    <w:rsid w:val="7E33329E"/>
    <w:rsid w:val="7E344E24"/>
    <w:rsid w:val="7E6775D2"/>
    <w:rsid w:val="7E683C9A"/>
    <w:rsid w:val="7E9B7BB0"/>
    <w:rsid w:val="7EC65E37"/>
    <w:rsid w:val="7ED83421"/>
    <w:rsid w:val="7ED92098"/>
    <w:rsid w:val="7EE73ACF"/>
    <w:rsid w:val="7F0349CC"/>
    <w:rsid w:val="7F3B5AA3"/>
    <w:rsid w:val="7FAB25EE"/>
    <w:rsid w:val="7FF61F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4">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5">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6">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7">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8">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9">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10">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11">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2">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ascii="仿宋_GB2312" w:eastAsia="仿宋_GB2312"/>
      <w:kern w:val="2"/>
      <w:sz w:val="32"/>
    </w:rPr>
  </w:style>
  <w:style w:type="paragraph" w:customStyle="1" w:styleId="3">
    <w:name w:val="引用1"/>
    <w:basedOn w:val="1"/>
    <w:next w:val="1"/>
    <w:qFormat/>
    <w:uiPriority w:val="0"/>
    <w:pPr>
      <w:wordWrap w:val="0"/>
      <w:spacing w:before="200" w:after="160"/>
      <w:ind w:left="864" w:right="864"/>
      <w:jc w:val="center"/>
    </w:pPr>
    <w:rPr>
      <w:i/>
    </w:rPr>
  </w:style>
  <w:style w:type="paragraph" w:styleId="13">
    <w:name w:val="List 3"/>
    <w:basedOn w:val="1"/>
    <w:qFormat/>
    <w:uiPriority w:val="0"/>
    <w:pPr>
      <w:adjustRightInd w:val="0"/>
      <w:snapToGrid w:val="0"/>
      <w:spacing w:line="360" w:lineRule="auto"/>
      <w:ind w:left="100" w:leftChars="400" w:hanging="200" w:hangingChars="200"/>
    </w:pPr>
    <w:rPr>
      <w:sz w:val="24"/>
    </w:rPr>
  </w:style>
  <w:style w:type="paragraph" w:styleId="14">
    <w:name w:val="toc 7"/>
    <w:basedOn w:val="1"/>
    <w:next w:val="1"/>
    <w:qFormat/>
    <w:uiPriority w:val="0"/>
    <w:pPr>
      <w:ind w:left="2520" w:leftChars="1200"/>
    </w:pPr>
  </w:style>
  <w:style w:type="paragraph" w:styleId="15">
    <w:name w:val="List Number 2"/>
    <w:basedOn w:val="1"/>
    <w:qFormat/>
    <w:uiPriority w:val="0"/>
    <w:pPr>
      <w:tabs>
        <w:tab w:val="left" w:pos="780"/>
      </w:tabs>
      <w:spacing w:line="360" w:lineRule="auto"/>
      <w:ind w:left="780" w:hanging="360"/>
    </w:pPr>
    <w:rPr>
      <w:sz w:val="24"/>
    </w:rPr>
  </w:style>
  <w:style w:type="paragraph" w:styleId="16">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7">
    <w:name w:val="Normal Indent"/>
    <w:basedOn w:val="1"/>
    <w:qFormat/>
    <w:uiPriority w:val="0"/>
    <w:pPr>
      <w:adjustRightInd w:val="0"/>
      <w:snapToGrid w:val="0"/>
      <w:spacing w:line="360" w:lineRule="auto"/>
      <w:ind w:firstLine="420"/>
    </w:pPr>
    <w:rPr>
      <w:sz w:val="24"/>
    </w:rPr>
  </w:style>
  <w:style w:type="paragraph" w:styleId="18">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9">
    <w:name w:val="Document Map"/>
    <w:basedOn w:val="1"/>
    <w:qFormat/>
    <w:uiPriority w:val="0"/>
    <w:pPr>
      <w:shd w:val="clear" w:color="auto" w:fill="000080"/>
    </w:pPr>
  </w:style>
  <w:style w:type="paragraph" w:styleId="20">
    <w:name w:val="toa heading"/>
    <w:basedOn w:val="1"/>
    <w:next w:val="1"/>
    <w:qFormat/>
    <w:uiPriority w:val="0"/>
    <w:pPr>
      <w:spacing w:before="120" w:beforeLines="0" w:beforeAutospacing="0"/>
    </w:pPr>
    <w:rPr>
      <w:rFonts w:ascii="Arial" w:hAnsi="Arial"/>
      <w:sz w:val="24"/>
    </w:rPr>
  </w:style>
  <w:style w:type="paragraph" w:styleId="21">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2">
    <w:name w:val="Body Text 3"/>
    <w:basedOn w:val="1"/>
    <w:qFormat/>
    <w:uiPriority w:val="0"/>
    <w:pPr>
      <w:adjustRightInd w:val="0"/>
      <w:snapToGrid w:val="0"/>
      <w:spacing w:after="120" w:afterLines="0" w:afterAutospacing="0" w:line="360" w:lineRule="auto"/>
    </w:pPr>
    <w:rPr>
      <w:sz w:val="16"/>
    </w:rPr>
  </w:style>
  <w:style w:type="paragraph" w:styleId="23">
    <w:name w:val="List Bullet 3"/>
    <w:basedOn w:val="1"/>
    <w:qFormat/>
    <w:uiPriority w:val="0"/>
    <w:pPr>
      <w:tabs>
        <w:tab w:val="left" w:pos="1200"/>
      </w:tabs>
      <w:adjustRightInd w:val="0"/>
      <w:snapToGrid w:val="0"/>
      <w:spacing w:line="360" w:lineRule="auto"/>
      <w:ind w:left="1200" w:hanging="360"/>
    </w:pPr>
    <w:rPr>
      <w:sz w:val="24"/>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21"/>
    <w:next w:val="21"/>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5"/>
    <w:qFormat/>
    <w:uiPriority w:val="0"/>
    <w:rPr>
      <w:rFonts w:ascii="宋体" w:hAnsi="宋体" w:eastAsia="宋体"/>
      <w:kern w:val="2"/>
      <w:sz w:val="28"/>
    </w:rPr>
  </w:style>
  <w:style w:type="character" w:customStyle="1" w:styleId="70">
    <w:name w:val="批注文字 Char"/>
    <w:link w:val="21"/>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4"/>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6"/>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6"/>
    <w:qFormat/>
    <w:uiPriority w:val="0"/>
    <w:pPr>
      <w:tabs>
        <w:tab w:val="left" w:pos="709"/>
      </w:tabs>
      <w:ind w:left="709" w:hanging="709"/>
      <w:jc w:val="both"/>
    </w:pPr>
    <w:rPr>
      <w:sz w:val="32"/>
    </w:rPr>
  </w:style>
  <w:style w:type="paragraph" w:customStyle="1" w:styleId="115">
    <w:name w:val="样式3"/>
    <w:basedOn w:val="4"/>
    <w:next w:val="4"/>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5"/>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9"/>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5"/>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7"/>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7"/>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9"/>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4"/>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7"/>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9"/>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7"/>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26</Pages>
  <Words>4952</Words>
  <Characters>5256</Characters>
  <Lines>101</Lines>
  <Paragraphs>28</Paragraphs>
  <TotalTime>0</TotalTime>
  <ScaleCrop>false</ScaleCrop>
  <LinksUpToDate>false</LinksUpToDate>
  <CharactersWithSpaces>5352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Hello</cp:lastModifiedBy>
  <cp:lastPrinted>2025-05-22T03:57:00Z</cp:lastPrinted>
  <dcterms:modified xsi:type="dcterms:W3CDTF">2026-07-25T12:22:50Z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2F579DE5AF1C4EB38A4937E3DC5743F9_13</vt:lpwstr>
  </property>
  <property fmtid="{D5CDD505-2E9C-101B-9397-08002B2CF9AE}" pid="4" name="KSOTemplateDocerSaveRecord">
    <vt:lpwstr>eyJoZGlkIjoiMzc1OGNlMDJlMzRlMzMzYmE1ZjU3MzU3ZjgyMjI5MWIiLCJ1c2VySWQiOiIxMjgyNDcwNjU2In0=</vt:lpwstr>
  </property>
</Properties>
</file>