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31066"/>
      <w:bookmarkStart w:id="2" w:name="_Toc76373863"/>
      <w:bookmarkStart w:id="3" w:name="_Toc13868"/>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28264"/>
      <w:bookmarkStart w:id="10" w:name="_Toc22435"/>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一次性使用动脉插管、一次性使用静脉插管</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18060"/>
            <w:bookmarkStart w:id="16" w:name="_Toc76373865"/>
            <w:bookmarkStart w:id="17" w:name="_Toc22129"/>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一次性使用动脉插管</w:t>
            </w:r>
            <w:r>
              <w:rPr>
                <w:rFonts w:hint="eastAsia" w:ascii="宋体" w:hAnsi="宋体" w:cs="宋体"/>
                <w:color w:val="auto"/>
                <w:sz w:val="24"/>
                <w:szCs w:val="24"/>
                <w:lang w:eastAsia="zh-CN"/>
              </w:rPr>
              <w:t>、</w:t>
            </w:r>
            <w:r>
              <w:rPr>
                <w:rFonts w:hint="eastAsia" w:ascii="宋体" w:hAnsi="宋体" w:cs="宋体"/>
                <w:color w:val="auto"/>
                <w:sz w:val="24"/>
                <w:szCs w:val="24"/>
              </w:rPr>
              <w:t>一次性使用静脉插管</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泌尿肾病中心、重症</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0358"/>
      <w:bookmarkStart w:id="20" w:name="_Toc3434"/>
      <w:bookmarkStart w:id="21" w:name="_Toc25496"/>
      <w:bookmarkStart w:id="22" w:name="_Toc10137"/>
      <w:bookmarkStart w:id="23" w:name="_Toc76373866"/>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泌尿肾病中心、重症</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泌尿肾病中心、重症</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泌尿肾病中心、重症</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泌尿肾病中心、重症</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9714"/>
      <w:bookmarkStart w:id="41" w:name="_Toc14224"/>
      <w:bookmarkStart w:id="42" w:name="_Toc76373872"/>
      <w:bookmarkStart w:id="43" w:name="_Toc252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76373874"/>
      <w:bookmarkStart w:id="49" w:name="_Toc11474"/>
      <w:bookmarkStart w:id="50" w:name="_Toc13391"/>
      <w:bookmarkStart w:id="51" w:name="_Toc3153"/>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29620"/>
      <w:bookmarkStart w:id="56" w:name="_Toc6355"/>
      <w:bookmarkStart w:id="57" w:name="_Toc76373876"/>
      <w:bookmarkStart w:id="58" w:name="_Toc2922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08A01C0">
      <w:pPr>
        <w:pStyle w:val="168"/>
        <w:widowControl/>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一次性使用动脉插管</w:t>
      </w:r>
      <w:r>
        <w:rPr>
          <w:rFonts w:hint="eastAsia" w:ascii="宋体" w:hAnsi="宋体" w:cs="宋体"/>
          <w:color w:val="auto"/>
          <w:sz w:val="24"/>
          <w:szCs w:val="24"/>
          <w:lang w:eastAsia="zh-CN"/>
        </w:rPr>
        <w:t>：</w:t>
      </w:r>
    </w:p>
    <w:p w14:paraId="11AB890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1.用于心脏直视手术，建立体外循环，连接心肺转流系统，向患者动脉系统灌注血液。</w:t>
      </w:r>
    </w:p>
    <w:p w14:paraId="787D922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2.产品由接头、管身、插头等组成。</w:t>
      </w:r>
    </w:p>
    <w:p w14:paraId="7F6EB5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3.提供多种规格尺寸：15~23[Fr]（置入体内长度≥190mm)，以满足临床不同的需求。</w:t>
      </w:r>
    </w:p>
    <w:p w14:paraId="6DB85700">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4.聚氯乙烯或聚氨酯等医用高分子材料制成。</w:t>
      </w:r>
    </w:p>
    <w:p w14:paraId="222D3660">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5.须配有相应的配套耗材：含7~15[Fr]不同型号穿刺针至少3个、适配导丝一根（长度≥1400mm）、适配的不同尺寸的扩张器4个、穿刺套包等。</w:t>
      </w:r>
    </w:p>
    <w:p w14:paraId="2EB21DA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6.无菌，一次性使用。</w:t>
      </w:r>
    </w:p>
    <w:p w14:paraId="46CEEC3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bookmarkStart w:id="192" w:name="_GoBack"/>
      <w:bookmarkEnd w:id="192"/>
    </w:p>
    <w:p w14:paraId="63A266DA">
      <w:pPr>
        <w:pStyle w:val="168"/>
        <w:widowControl/>
        <w:spacing w:line="400" w:lineRule="exact"/>
        <w:ind w:firstLine="480" w:firstLineChars="200"/>
        <w:rPr>
          <w:rFonts w:hint="eastAsia" w:eastAsia="宋体"/>
          <w:lang w:val="en-US" w:eastAsia="zh-CN"/>
        </w:rPr>
      </w:pPr>
      <w:r>
        <w:rPr>
          <w:rFonts w:hint="eastAsia" w:ascii="宋体" w:hAnsi="宋体" w:cs="宋体"/>
          <w:color w:val="auto"/>
          <w:sz w:val="24"/>
          <w:szCs w:val="24"/>
        </w:rPr>
        <w:t>一次性使用静脉插管</w:t>
      </w:r>
      <w:r>
        <w:rPr>
          <w:rFonts w:hint="eastAsia" w:ascii="宋体" w:hAnsi="宋体" w:cs="宋体"/>
          <w:color w:val="auto"/>
          <w:sz w:val="24"/>
          <w:szCs w:val="24"/>
          <w:lang w:eastAsia="zh-CN"/>
        </w:rPr>
        <w:t>：</w:t>
      </w:r>
    </w:p>
    <w:p w14:paraId="0D3EDC1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1.用于心脏直视手术，建立体外循环，连接心肺转流系统，引流静脉血至氧合器。</w:t>
      </w:r>
    </w:p>
    <w:p w14:paraId="0B4CBB2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2.产品由插头、管身、接头等组成。</w:t>
      </w:r>
    </w:p>
    <w:p w14:paraId="1E0EEBA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3.提供多种规格尺寸：19~25[Fr]（置入体内长度≥550mm)，以满足临床不同的需求。</w:t>
      </w:r>
    </w:p>
    <w:p w14:paraId="57796C0E">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4.聚氯乙烯或聚氨酯等医用高分子材料制成。</w:t>
      </w:r>
    </w:p>
    <w:p w14:paraId="333B23E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5.须配有相应的配套耗材，含7~15[Fr]不同型号穿刺针至少3个、适配导丝一根（长度≥1400mm）、适配的不同尺寸的扩张器4个、穿刺套包等。</w:t>
      </w:r>
    </w:p>
    <w:p w14:paraId="3ACF98BA">
      <w:pPr>
        <w:pStyle w:val="31"/>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6.无菌，一次性使用。</w:t>
      </w:r>
    </w:p>
    <w:p w14:paraId="1901D17F">
      <w:pPr>
        <w:pStyle w:val="168"/>
        <w:widowControl/>
        <w:numPr>
          <w:ilvl w:val="0"/>
          <w:numId w:val="0"/>
        </w:numPr>
        <w:spacing w:line="400" w:lineRule="exact"/>
        <w:rPr>
          <w:rFonts w:hint="default" w:ascii="Times New Roman" w:hAnsi="Times New Roman" w:eastAsia="宋体"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76373878"/>
      <w:bookmarkStart w:id="63" w:name="_Toc17944"/>
      <w:bookmarkStart w:id="64" w:name="_Toc4791"/>
      <w:bookmarkStart w:id="65" w:name="_Toc31843"/>
      <w:bookmarkStart w:id="66" w:name="_Toc17524"/>
      <w:bookmarkStart w:id="67" w:name="_Toc2072"/>
      <w:bookmarkStart w:id="68" w:name="_Toc15650"/>
      <w:bookmarkStart w:id="69" w:name="_Toc1768"/>
      <w:bookmarkStart w:id="70" w:name="_Toc7794"/>
      <w:bookmarkStart w:id="71" w:name="_Toc2412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76373879"/>
      <w:bookmarkStart w:id="75" w:name="_Toc22561"/>
      <w:bookmarkStart w:id="76" w:name="_Toc5959"/>
      <w:bookmarkStart w:id="77" w:name="_Toc9339"/>
      <w:bookmarkStart w:id="78" w:name="_Toc29836"/>
      <w:bookmarkStart w:id="79" w:name="_Toc30551"/>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893"/>
      <w:bookmarkStart w:id="84" w:name="_Toc20772"/>
      <w:bookmarkStart w:id="85" w:name="_Toc76373885"/>
      <w:bookmarkStart w:id="86" w:name="_Toc20263"/>
      <w:bookmarkStart w:id="87" w:name="_Toc12384"/>
      <w:bookmarkStart w:id="88" w:name="_Toc27737"/>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12712"/>
      <w:bookmarkStart w:id="92" w:name="_Toc7115"/>
      <w:bookmarkStart w:id="93" w:name="_Toc11052"/>
      <w:bookmarkStart w:id="94" w:name="_Toc28189"/>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9809"/>
      <w:bookmarkStart w:id="98" w:name="_Toc76373887"/>
      <w:bookmarkStart w:id="99" w:name="_Toc5535"/>
      <w:bookmarkStart w:id="100" w:name="_Toc31293"/>
      <w:bookmarkStart w:id="101" w:name="_Toc13585"/>
      <w:bookmarkStart w:id="102" w:name="_Toc26754"/>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76373889"/>
      <w:bookmarkStart w:id="106" w:name="_Toc8546"/>
      <w:bookmarkStart w:id="107" w:name="_Toc2900"/>
      <w:bookmarkStart w:id="108" w:name="_Toc30068"/>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76373890"/>
      <w:bookmarkStart w:id="113" w:name="_Toc11342"/>
      <w:bookmarkStart w:id="114" w:name="_Toc11654"/>
      <w:bookmarkStart w:id="115" w:name="_Toc20034"/>
      <w:bookmarkStart w:id="116" w:name="_Toc26071"/>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10864"/>
      <w:bookmarkStart w:id="120" w:name="_Toc20391"/>
      <w:bookmarkStart w:id="121" w:name="_Toc76373891"/>
      <w:bookmarkStart w:id="122" w:name="_Toc27646"/>
      <w:bookmarkStart w:id="123" w:name="_Toc25199"/>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2975"/>
      <w:bookmarkStart w:id="133" w:name="_Toc10152"/>
      <w:bookmarkStart w:id="134" w:name="_Toc76373904"/>
      <w:bookmarkStart w:id="135" w:name="_Toc19409"/>
      <w:bookmarkStart w:id="136" w:name="_Toc24088"/>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1763"/>
      <w:bookmarkStart w:id="139" w:name="_Toc11892"/>
      <w:bookmarkStart w:id="140" w:name="_Toc12863"/>
      <w:bookmarkStart w:id="141" w:name="_Toc25920"/>
      <w:bookmarkStart w:id="142" w:name="_Toc7750"/>
      <w:bookmarkStart w:id="143" w:name="_Toc76373907"/>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9"/>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21431"/>
      <w:bookmarkStart w:id="166" w:name="_Toc21830"/>
      <w:bookmarkStart w:id="167" w:name="_Toc27306"/>
      <w:bookmarkStart w:id="168" w:name="_Toc493178790"/>
      <w:bookmarkStart w:id="169" w:name="_Toc9795"/>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76373910"/>
      <w:bookmarkStart w:id="174" w:name="_Toc411"/>
      <w:bookmarkStart w:id="175" w:name="_Toc20875"/>
      <w:bookmarkStart w:id="176" w:name="_Toc20258"/>
      <w:bookmarkStart w:id="177" w:name="_Toc492721039"/>
      <w:bookmarkStart w:id="178" w:name="_Toc12647"/>
      <w:bookmarkStart w:id="179" w:name="_Toc16487"/>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16151"/>
      <w:bookmarkStart w:id="184" w:name="_Toc19291"/>
      <w:bookmarkStart w:id="185" w:name="_Toc492721038"/>
      <w:bookmarkStart w:id="186" w:name="_Toc20605"/>
      <w:bookmarkStart w:id="187" w:name="_Toc493178793"/>
      <w:bookmarkStart w:id="188" w:name="_Toc8925"/>
      <w:bookmarkStart w:id="189" w:name="_Toc6217"/>
      <w:bookmarkStart w:id="190" w:name="_Toc4250"/>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311A6EB-2896-4510-9831-03DC3C153531}"/>
  </w:font>
  <w:font w:name="黑体">
    <w:panose1 w:val="02010609060101010101"/>
    <w:charset w:val="86"/>
    <w:family w:val="auto"/>
    <w:pitch w:val="default"/>
    <w:sig w:usb0="800002BF" w:usb1="38CF7CFA" w:usb2="00000016" w:usb3="00000000" w:csb0="00040001" w:csb1="00000000"/>
    <w:embedRegular r:id="rId2" w:fontKey="{3D1E4F66-01E8-4A70-AFE2-46500EA547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4534E694-2334-472B-A50E-843CB648C7F3}"/>
  </w:font>
  <w:font w:name="Arial Unicode MS">
    <w:panose1 w:val="020B0604020202020204"/>
    <w:charset w:val="86"/>
    <w:family w:val="roman"/>
    <w:pitch w:val="default"/>
    <w:sig w:usb0="FFFFFFFF" w:usb1="E9FFFFFF" w:usb2="0000003F" w:usb3="00000000" w:csb0="603F01FF" w:csb1="FFFF0000"/>
    <w:embedRegular r:id="rId4" w:fontKey="{15FA0854-4DC8-46B5-B06B-AC42DE96CB3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9388875E-95C8-4962-B861-C7B65880B7DE}"/>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7136144-F68F-407E-9293-A7C4343BA692}"/>
  </w:font>
  <w:font w:name="方正黑体_GBK">
    <w:panose1 w:val="03000509000000000000"/>
    <w:charset w:val="86"/>
    <w:family w:val="script"/>
    <w:pitch w:val="default"/>
    <w:sig w:usb0="00000001" w:usb1="080E0000" w:usb2="00000000" w:usb3="00000000" w:csb0="00040000" w:csb1="00000000"/>
    <w:embedRegular r:id="rId7" w:fontKey="{B7AA372A-BAF7-4E24-BEFF-FF541D3C5EC5}"/>
  </w:font>
  <w:font w:name="方正小标宋_GBK">
    <w:panose1 w:val="03000509000000000000"/>
    <w:charset w:val="86"/>
    <w:family w:val="script"/>
    <w:pitch w:val="default"/>
    <w:sig w:usb0="00000001" w:usb1="080E0000" w:usb2="00000000" w:usb3="00000000" w:csb0="00040000" w:csb1="00000000"/>
    <w:embedRegular r:id="rId8" w:fontKey="{19887A59-7FAC-4657-81A2-BB56F1985A03}"/>
  </w:font>
  <w:font w:name="微软雅黑">
    <w:panose1 w:val="020B0503020204020204"/>
    <w:charset w:val="86"/>
    <w:family w:val="swiss"/>
    <w:pitch w:val="default"/>
    <w:sig w:usb0="80000287" w:usb1="2ACF3C50" w:usb2="00000016" w:usb3="00000000" w:csb0="0004001F" w:csb1="00000000"/>
    <w:embedRegular r:id="rId9" w:fontKey="{1A52D2A4-85F8-450E-A261-ABFD57E23BD5}"/>
  </w:font>
  <w:font w:name="仿宋">
    <w:panose1 w:val="02010609060101010101"/>
    <w:charset w:val="86"/>
    <w:family w:val="modern"/>
    <w:pitch w:val="default"/>
    <w:sig w:usb0="800002BF" w:usb1="38CF7CFA" w:usb2="00000016" w:usb3="00000000" w:csb0="00040001" w:csb1="00000000"/>
    <w:embedRegular r:id="rId10" w:fontKey="{D168684E-BAF7-4756-8B6F-7F926E2DFB7D}"/>
  </w:font>
  <w:font w:name="WPSEMBED33">
    <w:panose1 w:val="03000509000000000000"/>
    <w:charset w:val="86"/>
    <w:family w:val="auto"/>
    <w:pitch w:val="default"/>
    <w:sig w:usb0="00000001" w:usb1="080E0000" w:usb2="00000000" w:usb3="00000000" w:csb0="00040000" w:csb1="00000000"/>
  </w:font>
  <w:font w:name="WPSEMBED34">
    <w:panose1 w:val="03000509000000000000"/>
    <w:charset w:val="86"/>
    <w:family w:val="auto"/>
    <w:pitch w:val="default"/>
    <w:sig w:usb0="00000001" w:usb1="080E0000" w:usb2="00000000" w:usb3="00000000" w:csb0="00040000" w:csb1="00000000"/>
  </w:font>
  <w:font w:name="WPSEMBED31">
    <w:panose1 w:val="02010609030101010101"/>
    <w:charset w:val="86"/>
    <w:family w:val="auto"/>
    <w:pitch w:val="default"/>
    <w:sig w:usb0="00000001" w:usb1="080E0000" w:usb2="00000000" w:usb3="00000000" w:csb0="00040000" w:csb1="00000000"/>
  </w:font>
  <w:font w:name="WPSEMBED35">
    <w:panose1 w:val="03000509000000000000"/>
    <w:charset w:val="86"/>
    <w:family w:val="auto"/>
    <w:pitch w:val="default"/>
    <w:sig w:usb0="00000001" w:usb1="080E0000" w:usb2="00000000" w:usb3="00000000" w:csb0="00040000" w:csb1="00000000"/>
  </w:font>
  <w:font w:name="WPSEMBED3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35739"/>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5159</Words>
  <Characters>5278</Characters>
  <Lines>101</Lines>
  <Paragraphs>28</Paragraphs>
  <TotalTime>0</TotalTime>
  <ScaleCrop>false</ScaleCrop>
  <LinksUpToDate>false</LinksUpToDate>
  <CharactersWithSpaces>5386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2026-07-25T09:29:16Z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