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13868"/>
      <w:bookmarkStart w:id="3" w:name="_Toc1304"/>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5909"/>
      <w:bookmarkStart w:id="9" w:name="_Toc15376"/>
      <w:bookmarkStart w:id="10" w:name="_Toc76373864"/>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植入式给药装置、一次性使用植入式给药装置专用针</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76373865"/>
            <w:bookmarkStart w:id="16" w:name="_Toc18060"/>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植入式给药装置</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全院</w:t>
            </w:r>
          </w:p>
        </w:tc>
      </w:tr>
      <w:tr w14:paraId="1E0E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8952AD">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33F4EB58">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一次性使用植入式给药装置专用针</w:t>
            </w:r>
          </w:p>
        </w:tc>
        <w:tc>
          <w:tcPr>
            <w:tcW w:w="1485" w:type="dxa"/>
            <w:shd w:val="clear" w:color="auto" w:fill="auto"/>
            <w:noWrap w:val="0"/>
            <w:vAlign w:val="center"/>
          </w:tcPr>
          <w:p w14:paraId="3440B06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6E4D04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bookmarkStart w:id="192" w:name="_GoBack"/>
            <w:bookmarkEnd w:id="192"/>
            <w:r>
              <w:rPr>
                <w:rFonts w:hint="eastAsia" w:ascii="宋体" w:hAnsi="宋体" w:eastAsia="宋体" w:cs="宋体"/>
                <w:color w:val="auto"/>
                <w:kern w:val="2"/>
                <w:sz w:val="24"/>
                <w:szCs w:val="24"/>
                <w:lang w:val="en-US" w:eastAsia="zh-CN" w:bidi="ar-SA"/>
              </w:rPr>
              <w:t>2</w:t>
            </w:r>
          </w:p>
        </w:tc>
        <w:tc>
          <w:tcPr>
            <w:tcW w:w="1594" w:type="dxa"/>
            <w:noWrap w:val="0"/>
            <w:vAlign w:val="center"/>
          </w:tcPr>
          <w:p w14:paraId="67312C5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全院</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5496"/>
      <w:bookmarkStart w:id="20" w:name="_Toc26504"/>
      <w:bookmarkStart w:id="21" w:name="_Toc10137"/>
      <w:bookmarkStart w:id="22" w:name="_Toc76373866"/>
      <w:bookmarkStart w:id="23" w:name="_Toc30358"/>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全院</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全院</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14224"/>
      <w:bookmarkStart w:id="41" w:name="_Toc9714"/>
      <w:bookmarkStart w:id="42" w:name="_Toc76373872"/>
      <w:bookmarkStart w:id="43" w:name="_Toc4033"/>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3153"/>
      <w:bookmarkStart w:id="49" w:name="_Toc76373874"/>
      <w:bookmarkStart w:id="50" w:name="_Toc13391"/>
      <w:bookmarkStart w:id="51" w:name="_Toc2599"/>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29225"/>
      <w:bookmarkStart w:id="56" w:name="_Toc29620"/>
      <w:bookmarkStart w:id="57" w:name="_Toc30465"/>
      <w:bookmarkStart w:id="58" w:name="_Toc6355"/>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700B02B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植入式给药装置（普通型）：</w:t>
      </w:r>
    </w:p>
    <w:p w14:paraId="18839C9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1、适用于需要长期静脉治疗的患者，比如肿瘤患者化疗、免疫治疗、靶向治疗、输血、补液、营养支持治疗等。</w:t>
      </w:r>
    </w:p>
    <w:p w14:paraId="614FDCA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2、其构件包括港座、导管、植入过程所需要的全套附件。</w:t>
      </w:r>
    </w:p>
    <w:p w14:paraId="15484A4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3、有多种型号规格供患者选择。</w:t>
      </w:r>
    </w:p>
    <w:p w14:paraId="6802F08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4、港座隔膜应能满足至少800次的无损伤针穿刺，且无液体渗漏。</w:t>
      </w:r>
    </w:p>
    <w:p w14:paraId="3845DB7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5、导管采用相容性好的柔软材质（如聚氨酯、硅胶等），且具有抗折性，有显影标记。</w:t>
      </w:r>
    </w:p>
    <w:p w14:paraId="6C2AE63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p>
    <w:p w14:paraId="7A79E5E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要求：</w:t>
      </w:r>
    </w:p>
    <w:p w14:paraId="0DA5644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1.用于上臂、胸壁和腹腔的植入。</w:t>
      </w:r>
    </w:p>
    <w:p w14:paraId="40B6693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2.导管：提供临床常用导管外径规格。</w:t>
      </w:r>
    </w:p>
    <w:p w14:paraId="13876EF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3.穿刺针：18-21G穿刺针。</w:t>
      </w:r>
    </w:p>
    <w:p w14:paraId="65270E9B">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4.导引导丝：直型或J型，直型导丝头端经软化处理</w:t>
      </w:r>
    </w:p>
    <w:p w14:paraId="41A2372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5.支撑导丝:上臂置入须配备支撑导丝（长度≥600mm）。</w:t>
      </w:r>
    </w:p>
    <w:p w14:paraId="67DD79A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6.导管锁：透明锁扣</w:t>
      </w:r>
    </w:p>
    <w:p w14:paraId="193804F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7.按需配送穿刺包或护理包、导诊支架。</w:t>
      </w:r>
    </w:p>
    <w:p w14:paraId="18A55AF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p>
    <w:p w14:paraId="330C4B4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植入式给药装置（耐高压型）：</w:t>
      </w:r>
    </w:p>
    <w:p w14:paraId="0A8375D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功能：</w:t>
      </w:r>
    </w:p>
    <w:p w14:paraId="6BB6C18E">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1、适用于需要长期静脉治疗的患者，比如肿瘤患者化疗、免疫治疗、靶向治疗、输血、补液、营养支持治疗等。</w:t>
      </w:r>
    </w:p>
    <w:p w14:paraId="2231B52D">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2、其构件包括港座、导管、植入过程所需要的全套附件。</w:t>
      </w:r>
    </w:p>
    <w:p w14:paraId="3AE3EEA8">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3、有多种型号规格供患者选择。</w:t>
      </w:r>
    </w:p>
    <w:p w14:paraId="0C126E28">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4、港座隔膜应能满足至少800次的无损伤针穿刺，且无液体渗漏。</w:t>
      </w:r>
    </w:p>
    <w:p w14:paraId="09A1E104">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5、导管采用相容性好的柔软材质（如聚氨酯、硅胶等），且具有抗折性，有显影标记。</w:t>
      </w:r>
    </w:p>
    <w:p w14:paraId="65B5881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p>
    <w:p w14:paraId="1D4FB262">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要求：</w:t>
      </w:r>
    </w:p>
    <w:p w14:paraId="10DF1D44">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1.用于上臂/胸壁植入。 </w:t>
      </w:r>
    </w:p>
    <w:p w14:paraId="45DD6CD9">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2.导管：提供临床常用导管外径规格。</w:t>
      </w:r>
    </w:p>
    <w:p w14:paraId="31CA077D">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3.穿刺针：18-21G穿刺针。</w:t>
      </w:r>
    </w:p>
    <w:p w14:paraId="549992F3">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4.导引导丝：直型或J型，直型导丝头端经软化处理</w:t>
      </w:r>
    </w:p>
    <w:p w14:paraId="0C8EC33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5.支撑导丝: 上臂置入须配备支撑导丝（长度≥600mm）。</w:t>
      </w:r>
    </w:p>
    <w:p w14:paraId="65961DB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6.导管锁：透明锁扣</w:t>
      </w:r>
    </w:p>
    <w:p w14:paraId="417E1EAA">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7.耐高压，满足输注造影剂，满足≥300PSI压力值，满足MR1检查。</w:t>
      </w:r>
    </w:p>
    <w:p w14:paraId="226FD04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8.按需配送穿刺包或护理包、导诊支架。</w:t>
      </w:r>
    </w:p>
    <w:p w14:paraId="0AB5E7E2">
      <w:pPr>
        <w:pStyle w:val="31"/>
        <w:rPr>
          <w:rFonts w:hint="eastAsia" w:ascii="Times New Roman" w:hAnsi="Times New Roman" w:eastAsia="宋体" w:cs="Times New Roman"/>
          <w:b w:val="0"/>
          <w:bCs w:val="0"/>
          <w:color w:val="auto"/>
          <w:sz w:val="24"/>
          <w:szCs w:val="24"/>
          <w:lang w:val="en-US" w:eastAsia="zh-CN"/>
        </w:rPr>
      </w:pPr>
    </w:p>
    <w:p w14:paraId="76A6CAC2">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52D2CE1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一次性使用植入式给药装置专用针</w:t>
      </w:r>
      <w:r>
        <w:rPr>
          <w:rFonts w:hint="eastAsia" w:ascii="Times New Roman" w:hAnsi="Times New Roman" w:cs="Times New Roman"/>
          <w:b w:val="0"/>
          <w:bCs w:val="0"/>
          <w:color w:val="auto"/>
          <w:sz w:val="24"/>
          <w:szCs w:val="24"/>
          <w:lang w:val="en-US" w:eastAsia="zh-CN"/>
        </w:rPr>
        <w:t>：</w:t>
      </w:r>
    </w:p>
    <w:p w14:paraId="264E93FC">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普通型：</w:t>
      </w:r>
    </w:p>
    <w:p w14:paraId="079411B8">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1、用于穿刺植入式静脉输液港进行输液、输血、抽血、造影剂注射等治疗的一次性使用无损伤针及其附件。</w:t>
      </w:r>
    </w:p>
    <w:p w14:paraId="3DCA65E9">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2、无菌，独立包装，一次性使用，方便固定。</w:t>
      </w:r>
    </w:p>
    <w:p w14:paraId="4B7F64C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3、穿刺针材质为医用级不锈钢,有足够的硬度和韧性，不易弯曲。</w:t>
      </w:r>
    </w:p>
    <w:p w14:paraId="58906D5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4、连接管为医用级PVC或更高级的材料（如TPU）。</w:t>
      </w:r>
    </w:p>
    <w:p w14:paraId="0A34A0D7">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5、提供多种规格以满足不同的需求。</w:t>
      </w:r>
    </w:p>
    <w:p w14:paraId="584A8AC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安全型：</w:t>
      </w:r>
    </w:p>
    <w:p w14:paraId="5A969CE3">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1、满足以上条件。</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2、具有防针刺保护装置</w:t>
      </w:r>
      <w:r>
        <w:rPr>
          <w:rFonts w:hint="eastAsia" w:ascii="Times New Roman" w:hAnsi="Times New Roman" w:cs="Times New Roman"/>
          <w:b w:val="0"/>
          <w:bCs w:val="0"/>
          <w:color w:val="auto"/>
          <w:sz w:val="24"/>
          <w:szCs w:val="24"/>
          <w:lang w:val="en-US" w:eastAsia="zh-CN"/>
        </w:rPr>
        <w:t>。</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524"/>
      <w:bookmarkStart w:id="63" w:name="_Toc2072"/>
      <w:bookmarkStart w:id="64" w:name="_Toc76373878"/>
      <w:bookmarkStart w:id="65" w:name="_Toc4791"/>
      <w:bookmarkStart w:id="66" w:name="_Toc1768"/>
      <w:bookmarkStart w:id="67" w:name="_Toc15650"/>
      <w:bookmarkStart w:id="68" w:name="_Toc17944"/>
      <w:bookmarkStart w:id="69" w:name="_Toc7794"/>
      <w:bookmarkStart w:id="70" w:name="_Toc24122"/>
      <w:bookmarkStart w:id="71" w:name="_Toc31843"/>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2561"/>
      <w:bookmarkStart w:id="74" w:name="_Toc29836"/>
      <w:bookmarkStart w:id="75" w:name="_Toc5959"/>
      <w:bookmarkStart w:id="76" w:name="_Toc9339"/>
      <w:bookmarkStart w:id="77" w:name="_Toc76373879"/>
      <w:bookmarkStart w:id="78" w:name="_Toc14311"/>
      <w:bookmarkStart w:id="79" w:name="_Toc30551"/>
      <w:bookmarkStart w:id="80" w:name="_Toc16908"/>
      <w:bookmarkStart w:id="81" w:name="_Toc1352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2258"/>
      <w:bookmarkStart w:id="85" w:name="_Toc20772"/>
      <w:bookmarkStart w:id="86" w:name="_Toc27737"/>
      <w:bookmarkStart w:id="87" w:name="_Toc76373885"/>
      <w:bookmarkStart w:id="88" w:name="_Toc27893"/>
      <w:bookmarkStart w:id="89" w:name="_Toc12384"/>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7115"/>
      <w:bookmarkStart w:id="92" w:name="_Toc76373886"/>
      <w:bookmarkStart w:id="93" w:name="_Toc11052"/>
      <w:bookmarkStart w:id="94" w:name="_Toc12712"/>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9809"/>
      <w:bookmarkStart w:id="98" w:name="_Toc5535"/>
      <w:bookmarkStart w:id="99" w:name="_Toc13585"/>
      <w:bookmarkStart w:id="100" w:name="_Toc76373887"/>
      <w:bookmarkStart w:id="101" w:name="_Toc26754"/>
      <w:bookmarkStart w:id="102" w:name="_Toc31293"/>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76373889"/>
      <w:bookmarkStart w:id="106" w:name="_Toc2900"/>
      <w:bookmarkStart w:id="107" w:name="_Toc16925"/>
      <w:bookmarkStart w:id="108" w:name="_Toc30068"/>
      <w:bookmarkStart w:id="109" w:name="_Toc8546"/>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11654"/>
      <w:bookmarkStart w:id="114" w:name="_Toc11342"/>
      <w:bookmarkStart w:id="115" w:name="_Toc26071"/>
      <w:bookmarkStart w:id="116" w:name="_Toc76373890"/>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5199"/>
      <w:bookmarkStart w:id="121" w:name="_Toc27646"/>
      <w:bookmarkStart w:id="122" w:name="_Toc76373891"/>
      <w:bookmarkStart w:id="123" w:name="_Toc10864"/>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2975"/>
      <w:bookmarkStart w:id="133" w:name="_Toc19409"/>
      <w:bookmarkStart w:id="134" w:name="_Toc20762"/>
      <w:bookmarkStart w:id="135" w:name="_Toc24088"/>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11892"/>
      <w:bookmarkStart w:id="139" w:name="_Toc16112"/>
      <w:bookmarkStart w:id="140" w:name="_Toc11763"/>
      <w:bookmarkStart w:id="141" w:name="_Toc76373907"/>
      <w:bookmarkStart w:id="142" w:name="_Toc7750"/>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9795"/>
      <w:bookmarkStart w:id="166" w:name="_Toc76373909"/>
      <w:bookmarkStart w:id="167" w:name="_Toc21830"/>
      <w:bookmarkStart w:id="168" w:name="_Toc27306"/>
      <w:bookmarkStart w:id="169" w:name="_Toc49317879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76373910"/>
      <w:bookmarkStart w:id="175" w:name="_Toc411"/>
      <w:bookmarkStart w:id="176" w:name="_Toc20875"/>
      <w:bookmarkStart w:id="177" w:name="_Toc20258"/>
      <w:bookmarkStart w:id="178" w:name="_Toc16487"/>
      <w:bookmarkStart w:id="179" w:name="_Toc12647"/>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20605"/>
      <w:bookmarkStart w:id="183" w:name="_Toc493178793"/>
      <w:bookmarkStart w:id="184" w:name="_Toc6217"/>
      <w:bookmarkStart w:id="185" w:name="_Toc19291"/>
      <w:bookmarkStart w:id="186" w:name="_Toc4250"/>
      <w:bookmarkStart w:id="187" w:name="_Toc8925"/>
      <w:bookmarkStart w:id="188" w:name="_Toc16151"/>
      <w:bookmarkStart w:id="189" w:name="_Toc76373912"/>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5A63EE-218D-4241-9322-E0CF9FB7441D}"/>
  </w:font>
  <w:font w:name="黑体">
    <w:panose1 w:val="02010609060101010101"/>
    <w:charset w:val="86"/>
    <w:family w:val="auto"/>
    <w:pitch w:val="default"/>
    <w:sig w:usb0="800002BF" w:usb1="38CF7CFA" w:usb2="00000016" w:usb3="00000000" w:csb0="00040001" w:csb1="00000000"/>
    <w:embedRegular r:id="rId2" w:fontKey="{54B42615-808E-4A0F-BBBE-AD716064D3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F9616EED-7FDE-4D18-B566-9E2673C1647C}"/>
  </w:font>
  <w:font w:name="Arial Unicode MS">
    <w:panose1 w:val="020B0604020202020204"/>
    <w:charset w:val="86"/>
    <w:family w:val="roman"/>
    <w:pitch w:val="default"/>
    <w:sig w:usb0="FFFFFFFF" w:usb1="E9FFFFFF" w:usb2="0000003F" w:usb3="00000000" w:csb0="603F01FF" w:csb1="FFFF0000"/>
    <w:embedRegular r:id="rId4" w:fontKey="{ACF19448-08E1-4983-BFA4-6B2CF9716046}"/>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F0B74EB-F812-4055-AB1C-87308675FCF3}"/>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C34C3370-AFBE-4FE8-929A-317CD27BB15B}"/>
  </w:font>
  <w:font w:name="方正黑体_GBK">
    <w:panose1 w:val="03000509000000000000"/>
    <w:charset w:val="86"/>
    <w:family w:val="script"/>
    <w:pitch w:val="default"/>
    <w:sig w:usb0="00000001" w:usb1="080E0000" w:usb2="00000000" w:usb3="00000000" w:csb0="00040000" w:csb1="00000000"/>
    <w:embedRegular r:id="rId7" w:fontKey="{0348E812-C745-4EFD-BEFA-6671058D1098}"/>
  </w:font>
  <w:font w:name="方正小标宋_GBK">
    <w:panose1 w:val="03000509000000000000"/>
    <w:charset w:val="86"/>
    <w:family w:val="script"/>
    <w:pitch w:val="default"/>
    <w:sig w:usb0="00000001" w:usb1="080E0000" w:usb2="00000000" w:usb3="00000000" w:csb0="00040000" w:csb1="00000000"/>
    <w:embedRegular r:id="rId8" w:fontKey="{08FC84FA-E6DA-4830-866B-C0605D5FD3AA}"/>
  </w:font>
  <w:font w:name="微软雅黑">
    <w:panose1 w:val="020B0503020204020204"/>
    <w:charset w:val="86"/>
    <w:family w:val="swiss"/>
    <w:pitch w:val="default"/>
    <w:sig w:usb0="80000287" w:usb1="2ACF3C50" w:usb2="00000016" w:usb3="00000000" w:csb0="0004001F" w:csb1="00000000"/>
    <w:embedRegular r:id="rId9" w:fontKey="{A0B0EFA4-7C08-4778-9626-D45693EC8D9D}"/>
  </w:font>
  <w:font w:name="仿宋">
    <w:panose1 w:val="02010609060101010101"/>
    <w:charset w:val="86"/>
    <w:family w:val="modern"/>
    <w:pitch w:val="default"/>
    <w:sig w:usb0="800002BF" w:usb1="38CF7CFA" w:usb2="00000016" w:usb3="00000000" w:csb0="00040001" w:csb1="00000000"/>
    <w:embedRegular r:id="rId10" w:fontKey="{6CD55EB2-053A-445C-972C-8B94CE536C84}"/>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352</Words>
  <Characters>363</Characters>
  <Lines>101</Lines>
  <Paragraphs>28</Paragraphs>
  <TotalTime>0</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2026-07-25T07:46:16Z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