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31066"/>
      <w:bookmarkStart w:id="2" w:name="_Toc10059"/>
      <w:bookmarkStart w:id="3" w:name="_Toc1304"/>
      <w:bookmarkStart w:id="4" w:name="_Toc76373863"/>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5909"/>
      <w:bookmarkStart w:id="9" w:name="_Toc22435"/>
      <w:bookmarkStart w:id="10" w:name="_Toc28264"/>
      <w:bookmarkStart w:id="11" w:name="_Toc76373864"/>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652C0181">
      <w:pPr>
        <w:widowControl/>
        <w:spacing w:line="400" w:lineRule="exact"/>
        <w:ind w:firstLine="480" w:firstLineChars="200"/>
        <w:rPr>
          <w:rFonts w:hint="default" w:ascii="宋体" w:hAnsi="宋体" w:eastAsia="宋体" w:cs="宋体"/>
          <w:color w:val="auto"/>
          <w:kern w:val="2"/>
          <w:sz w:val="24"/>
          <w:szCs w:val="24"/>
          <w:lang w:val="en-US" w:eastAsia="zh-CN" w:bidi="ar-SA"/>
        </w:rPr>
      </w:pPr>
      <w:bookmarkStart w:id="14" w:name="_Toc5838"/>
      <w:bookmarkStart w:id="15" w:name="_Toc18060"/>
      <w:bookmarkStart w:id="16" w:name="_Toc76373865"/>
      <w:bookmarkStart w:id="17" w:name="_Toc22129"/>
      <w:bookmarkStart w:id="18" w:name="_Toc22707"/>
      <w:r>
        <w:rPr>
          <w:rFonts w:hint="eastAsia" w:ascii="宋体" w:hAnsi="宋体" w:cs="宋体"/>
          <w:color w:val="auto"/>
          <w:sz w:val="24"/>
          <w:szCs w:val="24"/>
        </w:rPr>
        <w:t>项目名称：</w:t>
      </w:r>
      <w:r>
        <w:rPr>
          <w:rFonts w:hint="eastAsia" w:ascii="宋体" w:hAnsi="宋体" w:eastAsia="宋体" w:cs="宋体"/>
          <w:i w:val="0"/>
          <w:iCs w:val="0"/>
          <w:color w:val="000000"/>
          <w:kern w:val="0"/>
          <w:sz w:val="22"/>
          <w:szCs w:val="22"/>
          <w:u w:val="none"/>
          <w:lang w:val="en-US" w:eastAsia="zh-CN" w:bidi="ar"/>
        </w:rPr>
        <w:t>聚醚醚酮颅骨修补系统</w:t>
      </w:r>
      <w:r>
        <w:rPr>
          <w:rFonts w:hint="eastAsia" w:ascii="宋体" w:hAnsi="宋体" w:eastAsia="宋体" w:cs="宋体"/>
          <w:color w:val="auto"/>
          <w:kern w:val="2"/>
          <w:sz w:val="24"/>
          <w:szCs w:val="24"/>
          <w:lang w:val="en-US" w:eastAsia="zh-CN" w:bidi="ar-SA"/>
        </w:rPr>
        <w:t>、</w:t>
      </w:r>
      <w:r>
        <w:rPr>
          <w:rFonts w:hint="eastAsia" w:ascii="宋体" w:hAnsi="宋体" w:eastAsia="宋体" w:cs="宋体"/>
          <w:i w:val="0"/>
          <w:iCs w:val="0"/>
          <w:color w:val="000000"/>
          <w:kern w:val="0"/>
          <w:sz w:val="22"/>
          <w:szCs w:val="22"/>
          <w:u w:val="none"/>
          <w:lang w:val="en-US" w:eastAsia="zh-CN" w:bidi="ar"/>
        </w:rPr>
        <w:t>PEEK颅骨固定系统</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脑脊液分流及其组件</w:t>
      </w:r>
    </w:p>
    <w:p w14:paraId="5B84FE56">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5B5C7BF8">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2E27FCD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34A6F58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487C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5CBD79A">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r>
              <w:rPr>
                <w:rFonts w:hint="eastAsia" w:ascii="宋体" w:hAnsi="宋体" w:eastAsia="宋体" w:cs="宋体"/>
                <w:color w:val="auto"/>
                <w:kern w:val="2"/>
                <w:szCs w:val="24"/>
                <w:lang w:val="en-US" w:eastAsia="zh-CN"/>
              </w:rPr>
              <w:t>包号</w:t>
            </w:r>
          </w:p>
        </w:tc>
        <w:tc>
          <w:tcPr>
            <w:tcW w:w="2298" w:type="dxa"/>
            <w:noWrap w:val="0"/>
            <w:vAlign w:val="center"/>
          </w:tcPr>
          <w:p w14:paraId="1CF14B28">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4EC25ED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3B32E648">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0C7600A0">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5A7D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405FC37B">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7F316ED8">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聚醚醚酮颅骨修补系统、PEEK颅骨固定系统</w:t>
            </w:r>
          </w:p>
        </w:tc>
        <w:tc>
          <w:tcPr>
            <w:tcW w:w="1485" w:type="dxa"/>
            <w:shd w:val="clear" w:color="auto" w:fill="auto"/>
            <w:noWrap w:val="0"/>
            <w:vAlign w:val="center"/>
          </w:tcPr>
          <w:p w14:paraId="77C8542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93C0085">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444DB4C9">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i w:val="0"/>
                <w:iCs w:val="0"/>
                <w:color w:val="auto"/>
                <w:kern w:val="0"/>
                <w:sz w:val="24"/>
                <w:szCs w:val="24"/>
                <w:u w:val="none"/>
                <w:lang w:val="en-US" w:eastAsia="zh-CN" w:bidi="ar"/>
              </w:rPr>
              <w:t>神经外科</w:t>
            </w:r>
          </w:p>
        </w:tc>
      </w:tr>
      <w:tr w14:paraId="4370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E69CFF0">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7A1C18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脑脊液分流及其组件</w:t>
            </w:r>
          </w:p>
        </w:tc>
        <w:tc>
          <w:tcPr>
            <w:tcW w:w="1485" w:type="dxa"/>
            <w:shd w:val="clear" w:color="auto" w:fill="auto"/>
            <w:noWrap w:val="0"/>
            <w:vAlign w:val="center"/>
          </w:tcPr>
          <w:p w14:paraId="4028A08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1323D15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2A16265E">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神经外科</w:t>
            </w:r>
          </w:p>
        </w:tc>
      </w:tr>
      <w:bookmarkEnd w:id="14"/>
      <w:bookmarkEnd w:id="15"/>
      <w:bookmarkEnd w:id="16"/>
      <w:bookmarkEnd w:id="17"/>
      <w:bookmarkEnd w:id="18"/>
    </w:tbl>
    <w:p w14:paraId="40D11194">
      <w:pPr>
        <w:widowControl/>
        <w:spacing w:before="120" w:beforeLines="50"/>
        <w:ind w:firstLine="480" w:firstLineChars="200"/>
        <w:rPr>
          <w:rFonts w:hint="default" w:ascii="宋体" w:hAnsi="宋体" w:cs="宋体"/>
          <w:color w:val="auto"/>
          <w:sz w:val="24"/>
          <w:szCs w:val="24"/>
          <w:lang w:val="en-US" w:eastAsia="zh-CN"/>
        </w:rPr>
      </w:pPr>
      <w:bookmarkStart w:id="19" w:name="_Toc76373866"/>
      <w:bookmarkStart w:id="20" w:name="_Toc26504"/>
      <w:bookmarkStart w:id="21" w:name="_Toc10137"/>
      <w:bookmarkStart w:id="22" w:name="_Toc30358"/>
      <w:bookmarkStart w:id="23" w:name="_Toc3434"/>
      <w:bookmarkStart w:id="24" w:name="_Toc25496"/>
      <w:r>
        <w:rPr>
          <w:rFonts w:hint="eastAsia" w:ascii="宋体" w:hAnsi="宋体" w:cs="宋体"/>
          <w:color w:val="auto"/>
          <w:sz w:val="24"/>
          <w:szCs w:val="24"/>
        </w:rPr>
        <w:t>注：1.</w:t>
      </w:r>
      <w:r>
        <w:rPr>
          <w:rFonts w:hint="eastAsia" w:ascii="宋体" w:hAnsi="宋体" w:cs="宋体"/>
          <w:color w:val="auto"/>
          <w:sz w:val="24"/>
          <w:szCs w:val="24"/>
          <w:lang w:eastAsia="zh-CN"/>
        </w:rPr>
        <w:t>该项目支持按照</w:t>
      </w:r>
      <w:r>
        <w:rPr>
          <w:rFonts w:hint="eastAsia" w:ascii="宋体" w:hAnsi="宋体" w:cs="宋体"/>
          <w:color w:val="auto"/>
          <w:sz w:val="24"/>
          <w:szCs w:val="24"/>
          <w:lang w:val="en-US" w:eastAsia="zh-CN"/>
        </w:rPr>
        <w:t>以上</w:t>
      </w:r>
      <w:r>
        <w:rPr>
          <w:rFonts w:hint="eastAsia" w:ascii="宋体" w:hAnsi="宋体" w:cs="宋体"/>
          <w:color w:val="auto"/>
          <w:sz w:val="24"/>
          <w:szCs w:val="24"/>
          <w:lang w:eastAsia="zh-CN"/>
        </w:rPr>
        <w:t>分包分别报名。</w:t>
      </w:r>
    </w:p>
    <w:p w14:paraId="0A7E2279">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1588BB1B">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2D6310DD">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bookmarkStart w:id="192" w:name="_GoBack"/>
      <w:bookmarkEnd w:id="192"/>
    </w:p>
    <w:p w14:paraId="004186B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5.该项目为院内产品重招</w:t>
      </w:r>
    </w:p>
    <w:p w14:paraId="3A98E8DD">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p w14:paraId="47290DCE">
      <w:pPr>
        <w:pStyle w:val="22"/>
        <w:rPr>
          <w:rFonts w:hint="eastAsia"/>
          <w:color w:val="auto"/>
        </w:rPr>
      </w:pPr>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神经外科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神经外科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神经外科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神经外科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14224"/>
      <w:bookmarkStart w:id="40" w:name="_Toc4033"/>
      <w:bookmarkStart w:id="41" w:name="_Toc76373872"/>
      <w:bookmarkStart w:id="42" w:name="_Toc9714"/>
      <w:bookmarkStart w:id="43" w:name="_Toc25272"/>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1474"/>
      <w:bookmarkStart w:id="48" w:name="_Toc3153"/>
      <w:bookmarkStart w:id="49" w:name="_Toc2599"/>
      <w:bookmarkStart w:id="50" w:name="_Toc76373874"/>
      <w:bookmarkStart w:id="51" w:name="_Toc13391"/>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76373876"/>
      <w:bookmarkStart w:id="55" w:name="_Toc6355"/>
      <w:bookmarkStart w:id="56" w:name="_Toc29225"/>
      <w:bookmarkStart w:id="57" w:name="_Toc29620"/>
      <w:bookmarkStart w:id="58" w:name="_Toc30465"/>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675E2121">
      <w:pPr>
        <w:pStyle w:val="168"/>
        <w:widowControl/>
        <w:numPr>
          <w:ilvl w:val="0"/>
          <w:numId w:val="0"/>
        </w:numPr>
        <w:spacing w:line="400" w:lineRule="exact"/>
        <w:ind w:firstLine="440" w:firstLineChars="200"/>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聚醚醚酮颅骨修补系统</w:t>
      </w:r>
      <w:r>
        <w:rPr>
          <w:rFonts w:hint="eastAsia" w:ascii="宋体" w:hAnsi="宋体" w:cs="宋体"/>
          <w:i w:val="0"/>
          <w:iCs w:val="0"/>
          <w:color w:val="000000"/>
          <w:kern w:val="0"/>
          <w:sz w:val="22"/>
          <w:szCs w:val="22"/>
          <w:u w:val="none"/>
          <w:lang w:val="en-US" w:eastAsia="zh-CN" w:bidi="ar"/>
        </w:rPr>
        <w:t>：</w:t>
      </w:r>
    </w:p>
    <w:p w14:paraId="2155EBBF">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1.用途：用于颅骨、颌面等处缺损修补手术；或颅骨骨瓣复位等手术；具备符合国家标准的强度和韧度。</w:t>
      </w:r>
    </w:p>
    <w:p w14:paraId="786BB0A1">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2.骨板采用医用植入级聚醚醚酮（PEEK）制成，可采用PEEK-OPTIMA-LT1或同等医用高性能植入级PEEK材质，保障产品质量可靠性。</w:t>
      </w:r>
    </w:p>
    <w:p w14:paraId="1A247BED">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3.须支持CT数据三维数字化精准塑形，厂家可提供三维仿真模型或3D打印头颅模型，用于术前方案确认。</w:t>
      </w:r>
    </w:p>
    <w:p w14:paraId="463920BF">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4.PEEK骨板的厚度常规区间为4-5mm，支持个性化开孔设计，可按需预留2mm、4mm两种规格引流/固定孔，孔位数量及分布可根据患者缺损形态定制。</w:t>
      </w:r>
    </w:p>
    <w:p w14:paraId="639BD76D">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5.同一厂家可配套提供PEEK链接片、金属连接片、医用固定螺钉，可采用同厂PEEK螺钉或医用钛合金螺钉，组件适配性强，可满足术中多种固定方式需求。</w:t>
      </w:r>
    </w:p>
    <w:p w14:paraId="102F5F33">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6.厂家具备快速数字化设计与定制加工能力，可保障常规及限期手术供货时效。</w:t>
      </w:r>
    </w:p>
    <w:p w14:paraId="5F766B85">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p>
    <w:p w14:paraId="0AB5E7E2">
      <w:pPr>
        <w:pStyle w:val="168"/>
        <w:widowControl/>
        <w:numPr>
          <w:ilvl w:val="0"/>
          <w:numId w:val="0"/>
        </w:numPr>
        <w:spacing w:line="400" w:lineRule="exact"/>
        <w:ind w:firstLine="440" w:firstLineChars="200"/>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i w:val="0"/>
          <w:iCs w:val="0"/>
          <w:color w:val="000000"/>
          <w:kern w:val="0"/>
          <w:sz w:val="22"/>
          <w:szCs w:val="22"/>
          <w:u w:val="none"/>
          <w:lang w:val="en-US" w:eastAsia="zh-CN" w:bidi="ar"/>
        </w:rPr>
        <w:t>PEEK颅骨固定系统</w:t>
      </w:r>
      <w:r>
        <w:rPr>
          <w:rFonts w:hint="eastAsia" w:hAnsi="宋体" w:cs="宋体"/>
          <w:i w:val="0"/>
          <w:iCs w:val="0"/>
          <w:color w:val="000000"/>
          <w:kern w:val="0"/>
          <w:sz w:val="22"/>
          <w:szCs w:val="22"/>
          <w:u w:val="none"/>
          <w:lang w:val="en-US" w:eastAsia="zh-CN" w:bidi="ar"/>
        </w:rPr>
        <w:t>：</w:t>
      </w:r>
    </w:p>
    <w:p w14:paraId="346020B1">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1.用途：用于颅骨、颌面等处缺损修补手术，或颅骨骨瓣复位等手术；具备符合国家标准的强度和韧度。</w:t>
      </w:r>
    </w:p>
    <w:p w14:paraId="20ED4354">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2.PEEK链接板采用医用植入级聚醚醚酮（PEEK）材质制作，可采用PEEK-OPTIMA-LT1或同等国标医用高性能PEEK原料，保障产品质量可靠性。</w:t>
      </w:r>
    </w:p>
    <w:p w14:paraId="3C888A8A">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3.配套齐全，包括临床常用的二孔链接板、四孔链接板、雪花链接板。</w:t>
      </w:r>
    </w:p>
    <w:p w14:paraId="4E98E94B">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4.PEEK二孔链接板长度≤18mm，宽度≤6mm，厚度≤1mm。</w:t>
      </w:r>
    </w:p>
    <w:p w14:paraId="38CA130D">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5.PEEK四孔链接板长度≤25mm，宽度≤6mm，厚度≤1mm.</w:t>
      </w:r>
    </w:p>
    <w:p w14:paraId="272C71BF">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6.PEEK雪花链接板直径≤27mm，厚度≤1mm。</w:t>
      </w:r>
    </w:p>
    <w:p w14:paraId="08F4B9FE">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7.同一厂家可配套提供原厂PEEK颅骨修补骨板、适配固定螺钉（PEEK螺钉或医用钛合金螺钉均可），整套系统同源适配、固定牢靠，满足一站式手术配套需求。</w:t>
      </w:r>
    </w:p>
    <w:p w14:paraId="5E3A60E6">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8.厂家具备快速定制、极速供货能力，可响应急诊、限期手术的交付需求</w:t>
      </w:r>
      <w:r>
        <w:rPr>
          <w:rFonts w:hint="eastAsia" w:ascii="Times New Roman" w:hAnsi="Times New Roman" w:cs="Times New Roman"/>
          <w:b w:val="0"/>
          <w:bCs w:val="0"/>
          <w:color w:val="auto"/>
          <w:sz w:val="24"/>
          <w:szCs w:val="24"/>
          <w:lang w:val="en-US" w:eastAsia="zh-CN"/>
        </w:rPr>
        <w:t>。</w:t>
      </w:r>
    </w:p>
    <w:p w14:paraId="59B33A6D">
      <w:pPr>
        <w:spacing w:line="320" w:lineRule="exact"/>
        <w:ind w:left="479" w:leftChars="85" w:hanging="241" w:hangingChars="100"/>
        <w:jc w:val="left"/>
        <w:rPr>
          <w:rFonts w:hint="eastAsia" w:ascii="宋体" w:hAnsi="宋体" w:eastAsia="宋体" w:cs="宋体"/>
          <w:b/>
          <w:bCs/>
          <w:color w:val="auto"/>
          <w:sz w:val="24"/>
          <w:szCs w:val="24"/>
          <w:lang w:val="en-US" w:eastAsia="zh-CN"/>
        </w:rPr>
      </w:pPr>
    </w:p>
    <w:p w14:paraId="7FD961CF">
      <w:pPr>
        <w:spacing w:line="320" w:lineRule="exact"/>
        <w:ind w:left="479" w:leftChars="85" w:hanging="241" w:hangingChars="100"/>
        <w:jc w:val="left"/>
        <w:rPr>
          <w:rFonts w:hint="eastAsia" w:ascii="Times New Roman" w:hAnsi="Times New Roman"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638B4129">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1.用途：脑积水患者，实现脑脊液分流引流；用于肿瘤病人化疗给药，穿刺，脑脊液引流。</w:t>
      </w:r>
    </w:p>
    <w:p w14:paraId="4066C389">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2.主体材质采用医用级硅胶，生物相容性良好，降低组织粘连、感染风险。</w:t>
      </w:r>
    </w:p>
    <w:p w14:paraId="3544930F">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3.导管内含显影剂（硫酸钡），X 光、CT 下全程可视。</w:t>
      </w:r>
    </w:p>
    <w:p w14:paraId="7767217F">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4.提供多种长度规格，以满足不同患者需求。</w:t>
      </w:r>
    </w:p>
    <w:p w14:paraId="4241C1DD">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5.组件：抗虹吸（防虹吸）装置，阀门、储液囊等。</w:t>
      </w:r>
    </w:p>
    <w:p w14:paraId="1901D17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6.一次性使用，无菌独立包装。。</w:t>
      </w: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68"/>
      <w:bookmarkStart w:id="63" w:name="_Toc31843"/>
      <w:bookmarkStart w:id="64" w:name="_Toc2072"/>
      <w:bookmarkStart w:id="65" w:name="_Toc4791"/>
      <w:bookmarkStart w:id="66" w:name="_Toc24122"/>
      <w:bookmarkStart w:id="67" w:name="_Toc17944"/>
      <w:bookmarkStart w:id="68" w:name="_Toc17524"/>
      <w:bookmarkStart w:id="69" w:name="_Toc7794"/>
      <w:bookmarkStart w:id="70" w:name="_Toc76373878"/>
      <w:bookmarkStart w:id="71" w:name="_Toc15650"/>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14311"/>
      <w:bookmarkStart w:id="74" w:name="_Toc22561"/>
      <w:bookmarkStart w:id="75" w:name="_Toc5959"/>
      <w:bookmarkStart w:id="76" w:name="_Toc30551"/>
      <w:bookmarkStart w:id="77" w:name="_Toc9339"/>
      <w:bookmarkStart w:id="78" w:name="_Toc29836"/>
      <w:bookmarkStart w:id="79" w:name="_Toc76373879"/>
      <w:bookmarkStart w:id="80" w:name="_Toc16908"/>
      <w:bookmarkStart w:id="81" w:name="_Toc13528"/>
      <w:bookmarkStart w:id="82"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258"/>
      <w:bookmarkStart w:id="84" w:name="_Toc76373885"/>
      <w:bookmarkStart w:id="85" w:name="_Toc27737"/>
      <w:bookmarkStart w:id="86" w:name="_Toc20772"/>
      <w:bookmarkStart w:id="87" w:name="_Toc20263"/>
      <w:bookmarkStart w:id="88" w:name="_Toc27893"/>
      <w:bookmarkStart w:id="89" w:name="_Toc12384"/>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3699"/>
      <w:bookmarkStart w:id="91" w:name="_Toc7115"/>
      <w:bookmarkStart w:id="92" w:name="_Toc11052"/>
      <w:bookmarkStart w:id="93" w:name="_Toc28189"/>
      <w:bookmarkStart w:id="94" w:name="_Toc76373886"/>
      <w:bookmarkStart w:id="95" w:name="_Toc1271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26754"/>
      <w:bookmarkStart w:id="98" w:name="_Toc9147"/>
      <w:bookmarkStart w:id="99" w:name="_Toc13585"/>
      <w:bookmarkStart w:id="100" w:name="_Toc5535"/>
      <w:bookmarkStart w:id="101" w:name="_Toc76373887"/>
      <w:bookmarkStart w:id="102" w:name="_Toc19809"/>
      <w:bookmarkStart w:id="103" w:name="_Toc31293"/>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8546"/>
      <w:bookmarkStart w:id="105" w:name="_Toc5251"/>
      <w:bookmarkStart w:id="106" w:name="_Toc76373889"/>
      <w:bookmarkStart w:id="107" w:name="_Toc30068"/>
      <w:bookmarkStart w:id="108" w:name="_Toc16925"/>
      <w:bookmarkStart w:id="109" w:name="_Toc2900"/>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654"/>
      <w:bookmarkStart w:id="113" w:name="_Toc76373890"/>
      <w:bookmarkStart w:id="114" w:name="_Toc27443"/>
      <w:bookmarkStart w:id="115" w:name="_Toc20034"/>
      <w:bookmarkStart w:id="116" w:name="_Toc11342"/>
      <w:bookmarkStart w:id="117" w:name="_Toc26071"/>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25199"/>
      <w:bookmarkStart w:id="121" w:name="_Toc10864"/>
      <w:bookmarkStart w:id="122" w:name="_Toc27646"/>
      <w:bookmarkStart w:id="123" w:name="_Toc76373891"/>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0152"/>
      <w:bookmarkStart w:id="132" w:name="_Toc76373904"/>
      <w:bookmarkStart w:id="133" w:name="_Toc24088"/>
      <w:bookmarkStart w:id="134" w:name="_Toc2975"/>
      <w:bookmarkStart w:id="135" w:name="_Toc19409"/>
      <w:bookmarkStart w:id="136" w:name="_Toc2076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6112"/>
      <w:bookmarkStart w:id="138" w:name="_Toc11763"/>
      <w:bookmarkStart w:id="139" w:name="_Toc76373907"/>
      <w:bookmarkStart w:id="140" w:name="_Toc25920"/>
      <w:bookmarkStart w:id="141" w:name="_Toc7750"/>
      <w:bookmarkStart w:id="142" w:name="_Toc11892"/>
      <w:bookmarkStart w:id="143" w:name="_Toc128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22827"/>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6"/>
      <w:bookmarkStart w:id="155" w:name="_Toc15483"/>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9795"/>
      <w:bookmarkStart w:id="165" w:name="_Toc21431"/>
      <w:bookmarkStart w:id="166" w:name="_Toc21830"/>
      <w:bookmarkStart w:id="167" w:name="_Toc27306"/>
      <w:bookmarkStart w:id="168" w:name="_Toc493178790"/>
      <w:bookmarkStart w:id="169" w:name="_Toc76373909"/>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92721039"/>
      <w:bookmarkStart w:id="174" w:name="_Toc76373910"/>
      <w:bookmarkStart w:id="175" w:name="_Toc411"/>
      <w:bookmarkStart w:id="176" w:name="_Toc20875"/>
      <w:bookmarkStart w:id="177" w:name="_Toc16487"/>
      <w:bookmarkStart w:id="178" w:name="_Toc20258"/>
      <w:bookmarkStart w:id="179" w:name="_Toc493178791"/>
      <w:bookmarkStart w:id="180" w:name="_Toc1264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6217"/>
      <w:bookmarkStart w:id="183" w:name="_Toc76373912"/>
      <w:bookmarkStart w:id="184" w:name="_Toc8925"/>
      <w:bookmarkStart w:id="185" w:name="_Toc492721038"/>
      <w:bookmarkStart w:id="186" w:name="_Toc493178793"/>
      <w:bookmarkStart w:id="187" w:name="_Toc20605"/>
      <w:bookmarkStart w:id="188" w:name="_Toc4250"/>
      <w:bookmarkStart w:id="189" w:name="_Toc16151"/>
      <w:bookmarkStart w:id="190" w:name="_Toc19291"/>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DE18B78-E32A-4D21-A591-BA07EE31C037}"/>
  </w:font>
  <w:font w:name="黑体">
    <w:panose1 w:val="02010609060101010101"/>
    <w:charset w:val="86"/>
    <w:family w:val="auto"/>
    <w:pitch w:val="default"/>
    <w:sig w:usb0="800002BF" w:usb1="38CF7CFA" w:usb2="00000016" w:usb3="00000000" w:csb0="00040001" w:csb1="00000000"/>
    <w:embedRegular r:id="rId2" w:fontKey="{3E51C4DA-715C-4207-A9AB-663319E851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31B5CE1C-E56F-4B5C-809E-FA55B4F470ED}"/>
  </w:font>
  <w:font w:name="Arial Unicode MS">
    <w:panose1 w:val="020B0604020202020204"/>
    <w:charset w:val="86"/>
    <w:family w:val="roman"/>
    <w:pitch w:val="default"/>
    <w:sig w:usb0="FFFFFFFF" w:usb1="E9FFFFFF" w:usb2="0000003F" w:usb3="00000000" w:csb0="603F01FF" w:csb1="FFFF0000"/>
    <w:embedRegular r:id="rId4" w:fontKey="{FDEB3F8F-980F-4337-BF41-6997F31C3BB8}"/>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45191A63-9001-4D54-8CB7-D18060F8BCD7}"/>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09483C8E-7081-48A8-9DB3-42421CED9A0B}"/>
  </w:font>
  <w:font w:name="方正黑体_GBK">
    <w:panose1 w:val="03000509000000000000"/>
    <w:charset w:val="86"/>
    <w:family w:val="script"/>
    <w:pitch w:val="default"/>
    <w:sig w:usb0="00000001" w:usb1="080E0000" w:usb2="00000000" w:usb3="00000000" w:csb0="00040000" w:csb1="00000000"/>
    <w:embedRegular r:id="rId7" w:fontKey="{B7AC2BA0-672E-4BB8-ACDD-ECD4624B613C}"/>
  </w:font>
  <w:font w:name="方正小标宋_GBK">
    <w:panose1 w:val="03000509000000000000"/>
    <w:charset w:val="86"/>
    <w:family w:val="script"/>
    <w:pitch w:val="default"/>
    <w:sig w:usb0="00000001" w:usb1="080E0000" w:usb2="00000000" w:usb3="00000000" w:csb0="00040000" w:csb1="00000000"/>
    <w:embedRegular r:id="rId8" w:fontKey="{02B6377A-135C-4DA8-84CA-4942D74C5CAF}"/>
  </w:font>
  <w:font w:name="微软雅黑">
    <w:panose1 w:val="020B0503020204020204"/>
    <w:charset w:val="86"/>
    <w:family w:val="swiss"/>
    <w:pitch w:val="default"/>
    <w:sig w:usb0="80000287" w:usb1="2ACF3C50" w:usb2="00000016" w:usb3="00000000" w:csb0="0004001F" w:csb1="00000000"/>
    <w:embedRegular r:id="rId9" w:fontKey="{BF41DD65-60C7-45CC-B013-4C267785C74C}"/>
  </w:font>
  <w:font w:name="仿宋">
    <w:panose1 w:val="02010609060101010101"/>
    <w:charset w:val="86"/>
    <w:family w:val="modern"/>
    <w:pitch w:val="default"/>
    <w:sig w:usb0="800002BF" w:usb1="38CF7CFA" w:usb2="00000016" w:usb3="00000000" w:csb0="00040001" w:csb1="00000000"/>
    <w:embedRegular r:id="rId10" w:fontKey="{2F900AB6-64EB-466F-A7C1-2A4ADA3EDFC0}"/>
  </w:font>
  <w:font w:name="WPSEMBED53">
    <w:panose1 w:val="03000509000000000000"/>
    <w:charset w:val="86"/>
    <w:family w:val="auto"/>
    <w:pitch w:val="default"/>
    <w:sig w:usb0="00000001" w:usb1="080E0000" w:usb2="00000000" w:usb3="00000000" w:csb0="00040000" w:csb1="00000000"/>
  </w:font>
  <w:font w:name="WPSEMBED54">
    <w:panose1 w:val="03000509000000000000"/>
    <w:charset w:val="86"/>
    <w:family w:val="auto"/>
    <w:pitch w:val="default"/>
    <w:sig w:usb0="00000001" w:usb1="080E0000" w:usb2="00000000" w:usb3="00000000" w:csb0="00040000" w:csb1="00000000"/>
  </w:font>
  <w:font w:name="WPSEMBED51">
    <w:panose1 w:val="02010609030101010101"/>
    <w:charset w:val="86"/>
    <w:family w:val="auto"/>
    <w:pitch w:val="default"/>
    <w:sig w:usb0="00000001" w:usb1="080E0000" w:usb2="00000000" w:usb3="00000000" w:csb0="00040000" w:csb1="00000000"/>
  </w:font>
  <w:font w:name="WPSEMBED55">
    <w:panose1 w:val="03000509000000000000"/>
    <w:charset w:val="86"/>
    <w:family w:val="auto"/>
    <w:pitch w:val="default"/>
    <w:sig w:usb0="00000001" w:usb1="080E0000" w:usb2="00000000" w:usb3="00000000" w:csb0="00040000" w:csb1="00000000"/>
  </w:font>
  <w:font w:name="WPSEMBED5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7838CD"/>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1E6859"/>
    <w:rsid w:val="163D790D"/>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D96DDB"/>
    <w:rsid w:val="1BF41E67"/>
    <w:rsid w:val="1BFB7B06"/>
    <w:rsid w:val="1C273FEB"/>
    <w:rsid w:val="1C440F82"/>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4D0ABF"/>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AA1D44"/>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801DB1"/>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0F17B6"/>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07E24"/>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6096</Words>
  <Characters>6343</Characters>
  <Lines>101</Lines>
  <Paragraphs>28</Paragraphs>
  <TotalTime>0</TotalTime>
  <ScaleCrop>false</ScaleCrop>
  <LinksUpToDate>false</LinksUpToDate>
  <CharactersWithSpaces>6772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2026-07-25T11:12:34Z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