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1304"/>
      <w:bookmarkStart w:id="2" w:name="_Toc31066"/>
      <w:bookmarkStart w:id="3" w:name="_Toc76373863"/>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76373864"/>
      <w:bookmarkStart w:id="9" w:name="_Toc28264"/>
      <w:bookmarkStart w:id="10" w:name="_Toc15376"/>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口腔修复膜</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自粘性软聚硅酮敷料</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22707"/>
            <w:bookmarkStart w:id="16" w:name="_Toc76373865"/>
            <w:bookmarkStart w:id="17" w:name="_Toc5838"/>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口腔修复膜</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整形与颌面外科</w:t>
            </w:r>
          </w:p>
        </w:tc>
      </w:tr>
      <w:tr w14:paraId="02CA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13C5145A">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11FE4660">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自粘性软聚硅酮敷料</w:t>
            </w:r>
          </w:p>
        </w:tc>
        <w:tc>
          <w:tcPr>
            <w:tcW w:w="1485" w:type="dxa"/>
            <w:shd w:val="clear" w:color="auto" w:fill="auto"/>
            <w:noWrap w:val="0"/>
            <w:vAlign w:val="center"/>
          </w:tcPr>
          <w:p w14:paraId="743EDD1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2D9A2327">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2B719FC1">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eastAsia="zh-CN"/>
              </w:rPr>
              <w:t>整形与颌面科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0A7E2279">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1588BB1B">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2D6310DD">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004186B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5.该项目为院内产品重招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bookmarkEnd w:id="192"/>
    </w:p>
    <w:bookmarkEnd w:id="14"/>
    <w:bookmarkEnd w:id="15"/>
    <w:bookmarkEnd w:id="16"/>
    <w:bookmarkEnd w:id="17"/>
    <w:bookmarkEnd w:id="18"/>
    <w:p w14:paraId="67FFECAF">
      <w:pPr>
        <w:pStyle w:val="22"/>
        <w:rPr>
          <w:rFonts w:hint="eastAsia"/>
          <w:color w:val="auto"/>
        </w:rPr>
      </w:pPr>
      <w:bookmarkStart w:id="19" w:name="_Toc30358"/>
      <w:bookmarkStart w:id="20" w:name="_Toc10137"/>
      <w:bookmarkStart w:id="21" w:name="_Toc26504"/>
      <w:bookmarkStart w:id="22" w:name="_Toc25496"/>
      <w:bookmarkStart w:id="23" w:name="_Toc3434"/>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整形与颌面外科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整形与颌面外科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整形与颌面外科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整形与颌面外科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4033"/>
      <w:bookmarkStart w:id="41" w:name="_Toc76373872"/>
      <w:bookmarkStart w:id="42" w:name="_Toc14224"/>
      <w:bookmarkStart w:id="43" w:name="_Toc971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3391"/>
      <w:bookmarkStart w:id="48" w:name="_Toc3153"/>
      <w:bookmarkStart w:id="49" w:name="_Toc11474"/>
      <w:bookmarkStart w:id="50" w:name="_Toc76373874"/>
      <w:bookmarkStart w:id="51" w:name="_Toc2599"/>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30465"/>
      <w:bookmarkStart w:id="55" w:name="_Toc76373876"/>
      <w:bookmarkStart w:id="56" w:name="_Toc29225"/>
      <w:bookmarkStart w:id="57" w:name="_Toc29620"/>
      <w:bookmarkStart w:id="58" w:name="_Toc6355"/>
      <w:bookmarkStart w:id="59" w:name="_Toc13107"/>
      <w:bookmarkStart w:id="60" w:name="_Toc1955"/>
    </w:p>
    <w:p w14:paraId="75C53E78">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5904B7C6">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w:t>
      </w:r>
      <w:r>
        <w:rPr>
          <w:rFonts w:hint="eastAsia" w:ascii="Times New Roman" w:hAnsi="Times New Roman" w:eastAsia="宋体" w:cs="Times New Roman"/>
          <w:b w:val="0"/>
          <w:bCs w:val="0"/>
          <w:color w:val="auto"/>
          <w:sz w:val="24"/>
          <w:szCs w:val="24"/>
          <w:lang w:val="en-US" w:eastAsia="zh-CN"/>
        </w:rPr>
        <w:t>产品适应症广泛：①用于整形颌面外科手术中，修复口腔内软组织缺损；②、腮腺手术中预防味觉出汗(Frey’s)综合征。</w:t>
      </w:r>
    </w:p>
    <w:p w14:paraId="002CB88C">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w:t>
      </w:r>
      <w:r>
        <w:rPr>
          <w:rFonts w:hint="eastAsia" w:ascii="Times New Roman" w:hAnsi="Times New Roman" w:eastAsia="宋体" w:cs="Times New Roman"/>
          <w:b w:val="0"/>
          <w:bCs w:val="0"/>
          <w:color w:val="auto"/>
          <w:sz w:val="24"/>
          <w:szCs w:val="24"/>
          <w:lang w:val="en-US" w:eastAsia="zh-CN"/>
        </w:rPr>
        <w:t>产品材质：主要成分胶原蛋白，产品为可吸收性生物材料，具有良好的生物相容性。</w:t>
      </w:r>
    </w:p>
    <w:p w14:paraId="06DA4EE6">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w:t>
      </w:r>
      <w:r>
        <w:rPr>
          <w:rFonts w:hint="eastAsia" w:ascii="Times New Roman" w:hAnsi="Times New Roman" w:eastAsia="宋体" w:cs="Times New Roman"/>
          <w:b w:val="0"/>
          <w:bCs w:val="0"/>
          <w:color w:val="auto"/>
          <w:sz w:val="24"/>
          <w:szCs w:val="24"/>
          <w:lang w:val="en-US" w:eastAsia="zh-CN"/>
        </w:rPr>
        <w:t>外观：方形、长方形、圆形；膜状材料，结构致密、质地均匀，无破损、无杂质。</w:t>
      </w:r>
    </w:p>
    <w:p w14:paraId="4788B83F">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w:t>
      </w:r>
      <w:r>
        <w:rPr>
          <w:rFonts w:hint="eastAsia" w:ascii="Times New Roman" w:hAnsi="Times New Roman" w:eastAsia="宋体" w:cs="Times New Roman"/>
          <w:b w:val="0"/>
          <w:bCs w:val="0"/>
          <w:color w:val="auto"/>
          <w:sz w:val="24"/>
          <w:szCs w:val="24"/>
          <w:lang w:val="en-US" w:eastAsia="zh-CN"/>
        </w:rPr>
        <w:t>产品尺寸丰富：大约1cm×1cm~8cm×10cm,满足不同缺损面积的使用。产品厚度适宜：平均厚度0.7-1.0mm,保证适宜的降解时间及缝合强度。</w:t>
      </w:r>
    </w:p>
    <w:p w14:paraId="7B921194">
      <w:p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535E0497">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1.</w:t>
      </w:r>
      <w:r>
        <w:rPr>
          <w:rFonts w:hint="default" w:ascii="Times New Roman" w:hAnsi="Times New Roman" w:eastAsia="宋体" w:cs="Times New Roman"/>
          <w:b w:val="0"/>
          <w:bCs w:val="0"/>
          <w:color w:val="auto"/>
          <w:sz w:val="24"/>
          <w:szCs w:val="24"/>
          <w:lang w:val="en-US" w:eastAsia="zh-CN"/>
        </w:rPr>
        <w:t>适用于完整皮肤的新、旧增生性疤痕或瘤性疤痕新愈合创面的疤痕护理，预防和治疗增生性疤痕、创伤性疤痕、术后疤痕、烧伤后疤痕及瘢痕疙瘩，适用于线状切口疤痕、片状疤痕及关节等功能部位疤痕。</w:t>
      </w:r>
    </w:p>
    <w:p w14:paraId="44C80EA4">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2.参数</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可反复粘贴重复使用，更换时无痛无创</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透气性好</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水蒸气透过率≥200g/m</w:t>
      </w:r>
      <w:r>
        <w:rPr>
          <w:rFonts w:hint="eastAsia" w:ascii="Times New Roman" w:hAnsi="Times New Roman"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lang w:val="en-US" w:eastAsia="zh-CN"/>
        </w:rPr>
        <w:t>.d，可在使用期间淋浴，肤色。延展性:延展性应≥0.23N/10mm。抗张强度</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抗张強度应≥5N/10mm。厚度≤0.4mm</w:t>
      </w:r>
    </w:p>
    <w:p w14:paraId="13CEBEF2">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3.组成部分</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防晒透气的聚氨酯无纺布背衬、软聚硅酮伤口接触层。</w:t>
      </w:r>
    </w:p>
    <w:p w14:paraId="7270A84A">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0C1B42D1">
      <w:pPr>
        <w:numPr>
          <w:ilvl w:val="0"/>
          <w:numId w:val="0"/>
        </w:num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4122"/>
      <w:bookmarkStart w:id="63" w:name="_Toc15650"/>
      <w:bookmarkStart w:id="64" w:name="_Toc4791"/>
      <w:bookmarkStart w:id="65" w:name="_Toc31843"/>
      <w:bookmarkStart w:id="66" w:name="_Toc17944"/>
      <w:bookmarkStart w:id="67" w:name="_Toc17524"/>
      <w:bookmarkStart w:id="68" w:name="_Toc7794"/>
      <w:bookmarkStart w:id="69" w:name="_Toc1768"/>
      <w:bookmarkStart w:id="70" w:name="_Toc76373878"/>
      <w:bookmarkStart w:id="71" w:name="_Toc207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22561"/>
      <w:bookmarkStart w:id="74" w:name="_Toc14311"/>
      <w:bookmarkStart w:id="75" w:name="_Toc9339"/>
      <w:bookmarkStart w:id="76" w:name="_Toc5959"/>
      <w:bookmarkStart w:id="77" w:name="_Toc29836"/>
      <w:bookmarkStart w:id="78" w:name="_Toc76373879"/>
      <w:bookmarkStart w:id="79" w:name="_Toc30551"/>
      <w:bookmarkStart w:id="80" w:name="_Toc16908"/>
      <w:bookmarkStart w:id="81" w:name="_Toc28942"/>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76373885"/>
      <w:bookmarkStart w:id="84" w:name="_Toc27737"/>
      <w:bookmarkStart w:id="85" w:name="_Toc20772"/>
      <w:bookmarkStart w:id="86" w:name="_Toc2258"/>
      <w:bookmarkStart w:id="87" w:name="_Toc12384"/>
      <w:bookmarkStart w:id="88" w:name="_Toc20263"/>
      <w:bookmarkStart w:id="89" w:name="_Toc2789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12712"/>
      <w:bookmarkStart w:id="91" w:name="_Toc7115"/>
      <w:bookmarkStart w:id="92" w:name="_Toc76373886"/>
      <w:bookmarkStart w:id="93" w:name="_Toc11052"/>
      <w:bookmarkStart w:id="94" w:name="_Toc23699"/>
      <w:bookmarkStart w:id="95" w:name="_Toc2818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31293"/>
      <w:bookmarkStart w:id="98" w:name="_Toc76373887"/>
      <w:bookmarkStart w:id="99" w:name="_Toc26754"/>
      <w:bookmarkStart w:id="100" w:name="_Toc19809"/>
      <w:bookmarkStart w:id="101" w:name="_Toc9147"/>
      <w:bookmarkStart w:id="102" w:name="_Toc13585"/>
      <w:bookmarkStart w:id="103"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5251"/>
      <w:bookmarkStart w:id="105" w:name="_Toc76373889"/>
      <w:bookmarkStart w:id="106" w:name="_Toc8546"/>
      <w:bookmarkStart w:id="107" w:name="_Toc30068"/>
      <w:bookmarkStart w:id="108" w:name="_Toc2900"/>
      <w:bookmarkStart w:id="109" w:name="_Toc16925"/>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76373890"/>
      <w:bookmarkStart w:id="113" w:name="_Toc11342"/>
      <w:bookmarkStart w:id="114" w:name="_Toc11654"/>
      <w:bookmarkStart w:id="115" w:name="_Toc26071"/>
      <w:bookmarkStart w:id="116" w:name="_Toc20034"/>
      <w:bookmarkStart w:id="117" w:name="_Toc27443"/>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76373891"/>
      <w:bookmarkStart w:id="120" w:name="_Toc10864"/>
      <w:bookmarkStart w:id="121" w:name="_Toc25199"/>
      <w:bookmarkStart w:id="122" w:name="_Toc20391"/>
      <w:bookmarkStart w:id="123" w:name="_Toc27646"/>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76373904"/>
      <w:bookmarkStart w:id="132" w:name="_Toc24088"/>
      <w:bookmarkStart w:id="133" w:name="_Toc19409"/>
      <w:bookmarkStart w:id="134" w:name="_Toc10152"/>
      <w:bookmarkStart w:id="135" w:name="_Toc20762"/>
      <w:bookmarkStart w:id="136" w:name="_Toc2975"/>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892"/>
      <w:bookmarkStart w:id="138" w:name="_Toc12863"/>
      <w:bookmarkStart w:id="139" w:name="_Toc11763"/>
      <w:bookmarkStart w:id="140" w:name="_Toc76373907"/>
      <w:bookmarkStart w:id="141" w:name="_Toc7750"/>
      <w:bookmarkStart w:id="142" w:name="_Toc16112"/>
      <w:bookmarkStart w:id="143" w:name="_Toc2592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10063"/>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6"/>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76373909"/>
      <w:bookmarkStart w:id="165" w:name="_Toc21830"/>
      <w:bookmarkStart w:id="166" w:name="_Toc27306"/>
      <w:bookmarkStart w:id="167" w:name="_Toc493178790"/>
      <w:bookmarkStart w:id="168" w:name="_Toc21431"/>
      <w:bookmarkStart w:id="169" w:name="_Toc9795"/>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258"/>
      <w:bookmarkStart w:id="174" w:name="_Toc20875"/>
      <w:bookmarkStart w:id="175" w:name="_Toc76373910"/>
      <w:bookmarkStart w:id="176" w:name="_Toc12647"/>
      <w:bookmarkStart w:id="177" w:name="_Toc493178791"/>
      <w:bookmarkStart w:id="178" w:name="_Toc492721039"/>
      <w:bookmarkStart w:id="179" w:name="_Toc411"/>
      <w:bookmarkStart w:id="180"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76373912"/>
      <w:bookmarkStart w:id="183" w:name="_Toc493178793"/>
      <w:bookmarkStart w:id="184" w:name="_Toc20605"/>
      <w:bookmarkStart w:id="185" w:name="_Toc8925"/>
      <w:bookmarkStart w:id="186" w:name="_Toc4250"/>
      <w:bookmarkStart w:id="187" w:name="_Toc492721038"/>
      <w:bookmarkStart w:id="188" w:name="_Toc6217"/>
      <w:bookmarkStart w:id="189" w:name="_Toc16151"/>
      <w:bookmarkStart w:id="190" w:name="_Toc1929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2920EBE-AF5C-4F33-9AEB-A0B2AE6F315E}"/>
  </w:font>
  <w:font w:name="黑体">
    <w:panose1 w:val="02010609060101010101"/>
    <w:charset w:val="86"/>
    <w:family w:val="auto"/>
    <w:pitch w:val="default"/>
    <w:sig w:usb0="800002BF" w:usb1="38CF7CFA" w:usb2="00000016" w:usb3="00000000" w:csb0="00040001" w:csb1="00000000"/>
    <w:embedRegular r:id="rId2" w:fontKey="{6932F5A9-5262-4EA0-AED5-62C2951CFD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2DAEDE5F-4C57-4AC8-86FA-3992621205E5}"/>
  </w:font>
  <w:font w:name="Arial Unicode MS">
    <w:panose1 w:val="020B0604020202020204"/>
    <w:charset w:val="86"/>
    <w:family w:val="roman"/>
    <w:pitch w:val="default"/>
    <w:sig w:usb0="FFFFFFFF" w:usb1="E9FFFFFF" w:usb2="0000003F" w:usb3="00000000" w:csb0="603F01FF" w:csb1="FFFF0000"/>
    <w:embedRegular r:id="rId4" w:fontKey="{0FE2D5C4-74D6-4F9C-8B64-1F9973E7FE72}"/>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6559DCD-DA4E-41CD-A63D-348BF92E5FA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BC94DCA3-9673-4AA8-84B6-B76589FA3ADD}"/>
  </w:font>
  <w:font w:name="方正黑体_GBK">
    <w:panose1 w:val="03000509000000000000"/>
    <w:charset w:val="86"/>
    <w:family w:val="script"/>
    <w:pitch w:val="default"/>
    <w:sig w:usb0="00000001" w:usb1="080E0000" w:usb2="00000000" w:usb3="00000000" w:csb0="00040000" w:csb1="00000000"/>
    <w:embedRegular r:id="rId7" w:fontKey="{15D0CAFF-6B83-44FF-AD49-D87624AF0264}"/>
  </w:font>
  <w:font w:name="方正小标宋_GBK">
    <w:panose1 w:val="03000509000000000000"/>
    <w:charset w:val="86"/>
    <w:family w:val="script"/>
    <w:pitch w:val="default"/>
    <w:sig w:usb0="00000001" w:usb1="080E0000" w:usb2="00000000" w:usb3="00000000" w:csb0="00040000" w:csb1="00000000"/>
    <w:embedRegular r:id="rId8" w:fontKey="{14C6874B-8A31-49C6-A82A-B5F0022B6870}"/>
  </w:font>
  <w:font w:name="微软雅黑">
    <w:panose1 w:val="020B0503020204020204"/>
    <w:charset w:val="86"/>
    <w:family w:val="swiss"/>
    <w:pitch w:val="default"/>
    <w:sig w:usb0="80000287" w:usb1="2ACF3C50" w:usb2="00000016" w:usb3="00000000" w:csb0="0004001F" w:csb1="00000000"/>
    <w:embedRegular r:id="rId9" w:fontKey="{49F9BAD8-6AB9-41EC-817E-35381652FC1A}"/>
  </w:font>
  <w:font w:name="仿宋">
    <w:panose1 w:val="02010609060101010101"/>
    <w:charset w:val="86"/>
    <w:family w:val="modern"/>
    <w:pitch w:val="default"/>
    <w:sig w:usb0="800002BF" w:usb1="38CF7CFA" w:usb2="00000016" w:usb3="00000000" w:csb0="00040001" w:csb1="00000000"/>
    <w:embedRegular r:id="rId10" w:fontKey="{61257BE1-6D47-4058-A1FD-20DF705A4B85}"/>
  </w:font>
  <w:font w:name="WPSEMBED18">
    <w:panose1 w:val="03000509000000000000"/>
    <w:charset w:val="86"/>
    <w:family w:val="auto"/>
    <w:pitch w:val="default"/>
    <w:sig w:usb0="00000001" w:usb1="080E0000" w:usb2="00000000" w:usb3="00000000" w:csb0="00040000" w:csb1="00000000"/>
  </w:font>
  <w:font w:name="WPSEMBED19">
    <w:panose1 w:val="03000509000000000000"/>
    <w:charset w:val="86"/>
    <w:family w:val="auto"/>
    <w:pitch w:val="default"/>
    <w:sig w:usb0="00000001" w:usb1="080E0000" w:usb2="00000000" w:usb3="00000000" w:csb0="00040000" w:csb1="00000000"/>
  </w:font>
  <w:font w:name="WPSEMBED16">
    <w:panose1 w:val="02010609030101010101"/>
    <w:charset w:val="86"/>
    <w:family w:val="auto"/>
    <w:pitch w:val="default"/>
    <w:sig w:usb0="00000001" w:usb1="080E0000" w:usb2="00000000" w:usb3="00000000" w:csb0="00040000" w:csb1="00000000"/>
  </w:font>
  <w:font w:name="WPSEMBED20">
    <w:panose1 w:val="03000509000000000000"/>
    <w:charset w:val="86"/>
    <w:family w:val="auto"/>
    <w:pitch w:val="default"/>
    <w:sig w:usb0="00000001" w:usb1="080E0000" w:usb2="00000000" w:usb3="00000000" w:csb0="00040000" w:csb1="00000000"/>
  </w:font>
  <w:font w:name="WPSEMBED1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CE2085"/>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246E9"/>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5474</Words>
  <Characters>5622</Characters>
  <Lines>101</Lines>
  <Paragraphs>28</Paragraphs>
  <TotalTime>0</TotalTime>
  <ScaleCrop>false</ScaleCrop>
  <LinksUpToDate>false</LinksUpToDate>
  <CharactersWithSpaces>5917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2026-07-25T10:49:42Z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