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10059"/>
      <w:bookmarkStart w:id="2" w:name="_Toc31066"/>
      <w:bookmarkStart w:id="3" w:name="_Toc13868"/>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8264"/>
      <w:bookmarkStart w:id="9" w:name="_Toc76373864"/>
      <w:bookmarkStart w:id="10" w:name="_Toc5909"/>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i w:val="0"/>
          <w:iCs w:val="0"/>
          <w:color w:val="000000"/>
          <w:kern w:val="0"/>
          <w:sz w:val="22"/>
          <w:szCs w:val="22"/>
          <w:u w:val="none"/>
          <w:lang w:val="en-US" w:eastAsia="zh-CN" w:bidi="ar"/>
        </w:rPr>
        <w:t>一次性使用冠脉血管内冲击波导管</w:t>
      </w:r>
      <w:r>
        <w:rPr>
          <w:rFonts w:hint="eastAsia" w:ascii="宋体" w:hAnsi="宋体" w:cs="宋体"/>
          <w:i w:val="0"/>
          <w:iCs w:val="0"/>
          <w:color w:val="000000"/>
          <w:kern w:val="0"/>
          <w:sz w:val="22"/>
          <w:szCs w:val="22"/>
          <w:u w:val="none"/>
          <w:lang w:val="en-US" w:eastAsia="zh-CN" w:bidi="ar"/>
        </w:rPr>
        <w:t>及其配套设备、</w:t>
      </w:r>
      <w:r>
        <w:rPr>
          <w:rFonts w:hint="eastAsia" w:ascii="宋体" w:hAnsi="宋体" w:eastAsia="宋体" w:cs="宋体"/>
          <w:i w:val="0"/>
          <w:iCs w:val="0"/>
          <w:color w:val="000000"/>
          <w:kern w:val="0"/>
          <w:sz w:val="22"/>
          <w:szCs w:val="22"/>
          <w:u w:val="none"/>
          <w:lang w:val="en-US" w:eastAsia="zh-CN" w:bidi="ar"/>
        </w:rPr>
        <w:t>一次性使用血管内成像导管/压力导丝</w:t>
      </w:r>
      <w:r>
        <w:rPr>
          <w:rFonts w:hint="eastAsia" w:ascii="宋体" w:hAnsi="宋体" w:cs="宋体"/>
          <w:i w:val="0"/>
          <w:iCs w:val="0"/>
          <w:color w:val="000000"/>
          <w:kern w:val="0"/>
          <w:sz w:val="22"/>
          <w:szCs w:val="22"/>
          <w:u w:val="none"/>
          <w:lang w:val="en-US" w:eastAsia="zh-CN" w:bidi="ar"/>
        </w:rPr>
        <w:t>及其配套设备</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5838"/>
            <w:bookmarkStart w:id="16" w:name="_Toc18060"/>
            <w:bookmarkStart w:id="17" w:name="_Toc76373865"/>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401A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FF3997F">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02F70D47">
            <w:pPr>
              <w:keepNext w:val="0"/>
              <w:keepLines w:val="0"/>
              <w:widowControl/>
              <w:suppressLineNumbers w:val="0"/>
              <w:jc w:val="center"/>
              <w:textAlignment w:val="center"/>
              <w:rPr>
                <w:rFonts w:hint="default"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一次性使用冠脉血管内冲击波导管</w:t>
            </w:r>
            <w:r>
              <w:rPr>
                <w:rFonts w:hint="eastAsia" w:ascii="宋体" w:hAnsi="宋体" w:cs="宋体"/>
                <w:i w:val="0"/>
                <w:iCs w:val="0"/>
                <w:color w:val="000000"/>
                <w:kern w:val="0"/>
                <w:sz w:val="22"/>
                <w:szCs w:val="22"/>
                <w:u w:val="none"/>
                <w:lang w:val="en-US" w:eastAsia="zh-CN" w:bidi="ar"/>
              </w:rPr>
              <w:t>及其配套设备</w:t>
            </w:r>
          </w:p>
        </w:tc>
        <w:tc>
          <w:tcPr>
            <w:tcW w:w="1485" w:type="dxa"/>
            <w:shd w:val="clear" w:color="auto" w:fill="auto"/>
            <w:noWrap w:val="0"/>
            <w:vAlign w:val="center"/>
          </w:tcPr>
          <w:p w14:paraId="47A90D13">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31FF00CB">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34568342">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江南心血管内科</w:t>
            </w:r>
          </w:p>
        </w:tc>
      </w:tr>
      <w:tr w14:paraId="2668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B18FD4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1E1F98C2">
            <w:pPr>
              <w:keepNext w:val="0"/>
              <w:keepLines w:val="0"/>
              <w:widowControl/>
              <w:suppressLineNumbers w:val="0"/>
              <w:jc w:val="center"/>
              <w:textAlignment w:val="center"/>
              <w:rPr>
                <w:rFonts w:hint="default"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一次性使用血管内成像导管/压力导丝</w:t>
            </w:r>
            <w:r>
              <w:rPr>
                <w:rFonts w:hint="eastAsia" w:ascii="宋体" w:hAnsi="宋体" w:cs="宋体"/>
                <w:i w:val="0"/>
                <w:iCs w:val="0"/>
                <w:color w:val="000000"/>
                <w:kern w:val="0"/>
                <w:sz w:val="22"/>
                <w:szCs w:val="22"/>
                <w:u w:val="none"/>
                <w:lang w:val="en-US" w:eastAsia="zh-CN" w:bidi="ar"/>
              </w:rPr>
              <w:t>及其配套设备</w:t>
            </w:r>
          </w:p>
        </w:tc>
        <w:tc>
          <w:tcPr>
            <w:tcW w:w="1485" w:type="dxa"/>
            <w:shd w:val="clear" w:color="auto" w:fill="auto"/>
            <w:noWrap w:val="0"/>
            <w:vAlign w:val="center"/>
          </w:tcPr>
          <w:p w14:paraId="4400F425">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0691F5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21C18135">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江南心血管内科</w:t>
            </w:r>
          </w:p>
        </w:tc>
      </w:tr>
    </w:tbl>
    <w:p w14:paraId="48D7D636">
      <w:pPr>
        <w:widowControl/>
        <w:spacing w:before="120" w:beforeLines="50"/>
        <w:ind w:firstLine="480" w:firstLineChars="200"/>
        <w:rPr>
          <w:rFonts w:hint="default" w:ascii="宋体" w:hAnsi="宋体" w:cs="宋体" w:eastAsiaTheme="minorEastAsia"/>
          <w:color w:val="auto"/>
          <w:sz w:val="24"/>
          <w:szCs w:val="24"/>
          <w:lang w:val="en-US" w:eastAsia="zh-CN"/>
        </w:rPr>
      </w:pPr>
      <w:r>
        <w:rPr>
          <w:rFonts w:hint="eastAsia" w:ascii="宋体" w:hAnsi="宋体" w:cs="宋体"/>
          <w:color w:val="auto"/>
          <w:sz w:val="24"/>
          <w:szCs w:val="24"/>
        </w:rPr>
        <w:t>注：</w:t>
      </w:r>
      <w:r>
        <w:rPr>
          <w:rFonts w:hint="eastAsia" w:ascii="宋体" w:hAnsi="宋体" w:cs="宋体"/>
          <w:color w:val="auto"/>
          <w:sz w:val="24"/>
          <w:szCs w:val="24"/>
          <w:lang w:val="en-US" w:eastAsia="zh-CN"/>
        </w:rPr>
        <w:t>1.该项目支持按照以上分包分别报名。</w:t>
      </w:r>
    </w:p>
    <w:p w14:paraId="35E0485B">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28E39E4A">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五年</w:t>
      </w:r>
    </w:p>
    <w:p w14:paraId="6590A2B9">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51A5E259">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1E226A64">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p w14:paraId="48F282BD">
      <w:pPr>
        <w:pStyle w:val="22"/>
        <w:ind w:firstLine="480" w:firstLineChars="200"/>
        <w:rPr>
          <w:rFonts w:hint="default" w:ascii="宋体" w:hAnsi="宋体" w:eastAsia="宋体" w:cs="宋体"/>
          <w:color w:val="auto"/>
          <w:sz w:val="24"/>
          <w:szCs w:val="24"/>
          <w:lang w:val="en-US" w:eastAsia="zh-CN"/>
        </w:rPr>
      </w:pPr>
    </w:p>
    <w:bookmarkEnd w:id="14"/>
    <w:bookmarkEnd w:id="15"/>
    <w:bookmarkEnd w:id="16"/>
    <w:bookmarkEnd w:id="17"/>
    <w:bookmarkEnd w:id="18"/>
    <w:p w14:paraId="67FFECAF">
      <w:pPr>
        <w:pStyle w:val="22"/>
        <w:rPr>
          <w:rFonts w:hint="eastAsia"/>
          <w:color w:val="auto"/>
        </w:rPr>
      </w:pPr>
      <w:bookmarkStart w:id="19" w:name="_Toc3434"/>
      <w:bookmarkStart w:id="20" w:name="_Toc10137"/>
      <w:bookmarkStart w:id="21" w:name="_Toc76373866"/>
      <w:bookmarkStart w:id="22" w:name="_Toc26504"/>
      <w:bookmarkStart w:id="23" w:name="_Toc30358"/>
      <w:bookmarkStart w:id="24" w:name="_Toc25496"/>
      <w:bookmarkStart w:id="192" w:name="_GoBack"/>
      <w:bookmarkEnd w:id="192"/>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江南心血管内科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江南心血管内科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江南心血管内科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江南心血管内科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14224"/>
      <w:bookmarkStart w:id="40" w:name="_Toc4033"/>
      <w:bookmarkStart w:id="41" w:name="_Toc76373872"/>
      <w:bookmarkStart w:id="42" w:name="_Toc25272"/>
      <w:bookmarkStart w:id="43" w:name="_Toc971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2599"/>
      <w:bookmarkStart w:id="49" w:name="_Toc76373874"/>
      <w:bookmarkStart w:id="50" w:name="_Toc3153"/>
      <w:bookmarkStart w:id="51" w:name="_Toc13391"/>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29620"/>
      <w:bookmarkStart w:id="56" w:name="_Toc30465"/>
      <w:bookmarkStart w:id="57" w:name="_Toc76373876"/>
      <w:bookmarkStart w:id="58" w:name="_Toc6355"/>
      <w:bookmarkStart w:id="59" w:name="_Toc1955"/>
      <w:bookmarkStart w:id="60" w:name="_Toc13107"/>
    </w:p>
    <w:p w14:paraId="382937FE">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0BE2F2D">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1.用于冠状动脉原发性钙化病变的血管预处理，碎裂钙化斑块，改善血管顺应性，辅助后续支架植入。</w:t>
      </w:r>
    </w:p>
    <w:p w14:paraId="77CC2332">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2.提供多种规格供选择。</w:t>
      </w:r>
    </w:p>
    <w:p w14:paraId="222D55B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3.球囊工作压力（WP）: 4atm；球囊命名压力（NP）: 6atm；球囊额定爆破压力（RBP）:≥ 10atm。</w:t>
      </w:r>
    </w:p>
    <w:p w14:paraId="051C02A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4.单个导管至少可释放80次脉冲；</w:t>
      </w:r>
    </w:p>
    <w:p w14:paraId="504C60E9">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5.器械兼容：兼容≥6F指引导管，兼容≤0.014″（0.36mm）导引导丝。</w:t>
      </w:r>
    </w:p>
    <w:p w14:paraId="5B7CDD0F">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6.提供多种球囊直径选择，包括但不限于2.5-4.0mm。</w:t>
      </w:r>
    </w:p>
    <w:p w14:paraId="2B07E5F9">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7.彩色标识区分型号</w:t>
      </w:r>
    </w:p>
    <w:p w14:paraId="71B6A547">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8.最低有效治疗声压≥20.8atm</w:t>
      </w:r>
    </w:p>
    <w:p w14:paraId="118D11B1">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9.导管头端≥25cm部分涂有亲水涂层</w:t>
      </w:r>
    </w:p>
    <w:p w14:paraId="3E9FD2E3">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10.采购配套相关主机。</w:t>
      </w:r>
    </w:p>
    <w:p w14:paraId="03C350CF">
      <w:pPr>
        <w:pStyle w:val="31"/>
        <w:rPr>
          <w:rFonts w:hint="eastAsia"/>
          <w:lang w:val="en-US" w:eastAsia="zh-CN"/>
        </w:rPr>
      </w:pPr>
    </w:p>
    <w:p w14:paraId="18F51125">
      <w:pPr>
        <w:spacing w:line="320" w:lineRule="exact"/>
        <w:ind w:left="479" w:leftChars="85" w:hanging="241" w:hangingChars="100"/>
        <w:jc w:val="left"/>
        <w:rPr>
          <w:rFonts w:hint="eastAsia" w:ascii="Times New Roman" w:hAnsi="Times New Roman"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2BC3651D">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一次性使用血管内成像导管</w:t>
      </w:r>
    </w:p>
    <w:p w14:paraId="1E7F724C">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1、用途：该产品与OCT成像系统配合使用，用于冠状动脉的成像，适合可能进行腔内介入治疗的病人。</w:t>
      </w:r>
    </w:p>
    <w:p w14:paraId="77210E6D">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2、技术参数：成像导管有亲水涂层，有效工作长度≥135cm;导管远端最小通过外径≤2.7F;光镜到头端的距离≤23mm;最大回撤距离≥75mm;最大回撤速率≥36mm/s；显影标记数量≥3个；远端显影标记于头端间距≤3mm;                                                                    </w:t>
      </w:r>
    </w:p>
    <w:p w14:paraId="1E0A9DFC">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3、该产品由内置旋转光纤成像核心和导管体组成，无菌产品。</w:t>
      </w:r>
    </w:p>
    <w:p w14:paraId="0C357CB4">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压力导丝</w:t>
      </w:r>
    </w:p>
    <w:p w14:paraId="548B0779">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1、用途：该产品经由经皮导管穿过血管，用于测量心脏、冠状血管和外周血管中的压力；</w:t>
      </w:r>
    </w:p>
    <w:p w14:paraId="2BF5901A">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2、技术参数：远端为亲水涂层，中间段为PTFE涂层，近段疏水涂层，压力导丝长度≥175cm;直径≤0.014英寸；感应器窗口≥3个；头端硬度≤0.63g;无线测量功能，兼容OCT设备；</w:t>
      </w:r>
    </w:p>
    <w:p w14:paraId="3B680C99">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3、该产品由导丝、扭矩装置和发射器组成。该产品采用灭菌包装，一次性使用。</w:t>
      </w:r>
    </w:p>
    <w:p w14:paraId="57788031">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采购相应的配套设备一个，兼容与一次性使用血管内成像导管配合使用，用于冠状动脉的成像。与压力导丝配合使用，可显示静息pd/pa、血流储备分数（FFR）和静息全周期比值（RFR）。</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4122"/>
      <w:bookmarkStart w:id="63" w:name="_Toc1768"/>
      <w:bookmarkStart w:id="64" w:name="_Toc17944"/>
      <w:bookmarkStart w:id="65" w:name="_Toc15650"/>
      <w:bookmarkStart w:id="66" w:name="_Toc7794"/>
      <w:bookmarkStart w:id="67" w:name="_Toc2072"/>
      <w:bookmarkStart w:id="68" w:name="_Toc31843"/>
      <w:bookmarkStart w:id="69" w:name="_Toc17524"/>
      <w:bookmarkStart w:id="70" w:name="_Toc76373878"/>
      <w:bookmarkStart w:id="71" w:name="_Toc4791"/>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5959"/>
      <w:bookmarkStart w:id="74" w:name="_Toc22561"/>
      <w:bookmarkStart w:id="75" w:name="_Toc76373879"/>
      <w:bookmarkStart w:id="76" w:name="_Toc14311"/>
      <w:bookmarkStart w:id="77" w:name="_Toc30551"/>
      <w:bookmarkStart w:id="78" w:name="_Toc9339"/>
      <w:bookmarkStart w:id="79" w:name="_Toc29836"/>
      <w:bookmarkStart w:id="80" w:name="_Toc13528"/>
      <w:bookmarkStart w:id="81" w:name="_Toc28942"/>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76373885"/>
      <w:bookmarkStart w:id="84" w:name="_Toc27893"/>
      <w:bookmarkStart w:id="85" w:name="_Toc20772"/>
      <w:bookmarkStart w:id="86" w:name="_Toc27737"/>
      <w:bookmarkStart w:id="87" w:name="_Toc2258"/>
      <w:bookmarkStart w:id="88" w:name="_Toc20263"/>
      <w:bookmarkStart w:id="89" w:name="_Toc12384"/>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3699"/>
      <w:bookmarkStart w:id="91" w:name="_Toc11052"/>
      <w:bookmarkStart w:id="92" w:name="_Toc76373886"/>
      <w:bookmarkStart w:id="93" w:name="_Toc28189"/>
      <w:bookmarkStart w:id="94" w:name="_Toc7115"/>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76373887"/>
      <w:bookmarkStart w:id="98" w:name="_Toc26754"/>
      <w:bookmarkStart w:id="99" w:name="_Toc19809"/>
      <w:bookmarkStart w:id="100" w:name="_Toc13585"/>
      <w:bookmarkStart w:id="101" w:name="_Toc31293"/>
      <w:bookmarkStart w:id="102" w:name="_Toc5535"/>
      <w:bookmarkStart w:id="103"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30068"/>
      <w:bookmarkStart w:id="106" w:name="_Toc8546"/>
      <w:bookmarkStart w:id="107" w:name="_Toc5251"/>
      <w:bookmarkStart w:id="108" w:name="_Toc16925"/>
      <w:bookmarkStart w:id="109" w:name="_Toc76373889"/>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76373890"/>
      <w:bookmarkStart w:id="114" w:name="_Toc26071"/>
      <w:bookmarkStart w:id="115" w:name="_Toc11654"/>
      <w:bookmarkStart w:id="116" w:name="_Toc27443"/>
      <w:bookmarkStart w:id="117" w:name="_Toc11342"/>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10864"/>
      <w:bookmarkStart w:id="120" w:name="_Toc76373891"/>
      <w:bookmarkStart w:id="121" w:name="_Toc20391"/>
      <w:bookmarkStart w:id="122" w:name="_Toc27646"/>
      <w:bookmarkStart w:id="123" w:name="_Toc25199"/>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0762"/>
      <w:bookmarkStart w:id="132" w:name="_Toc10152"/>
      <w:bookmarkStart w:id="133" w:name="_Toc24088"/>
      <w:bookmarkStart w:id="134" w:name="_Toc2975"/>
      <w:bookmarkStart w:id="135" w:name="_Toc19409"/>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25920"/>
      <w:bookmarkStart w:id="138" w:name="_Toc16112"/>
      <w:bookmarkStart w:id="139" w:name="_Toc7750"/>
      <w:bookmarkStart w:id="140" w:name="_Toc76373907"/>
      <w:bookmarkStart w:id="141" w:name="_Toc12863"/>
      <w:bookmarkStart w:id="142" w:name="_Toc11892"/>
      <w:bookmarkStart w:id="143" w:name="_Toc117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22827"/>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21830"/>
      <w:bookmarkStart w:id="166" w:name="_Toc76373909"/>
      <w:bookmarkStart w:id="167" w:name="_Toc21431"/>
      <w:bookmarkStart w:id="168" w:name="_Toc27306"/>
      <w:bookmarkStart w:id="169" w:name="_Toc9795"/>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411"/>
      <w:bookmarkStart w:id="175" w:name="_Toc12647"/>
      <w:bookmarkStart w:id="176" w:name="_Toc76373910"/>
      <w:bookmarkStart w:id="177" w:name="_Toc493178791"/>
      <w:bookmarkStart w:id="178" w:name="_Toc20258"/>
      <w:bookmarkStart w:id="179" w:name="_Toc492721039"/>
      <w:bookmarkStart w:id="180"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3178793"/>
      <w:bookmarkStart w:id="183" w:name="_Toc8925"/>
      <w:bookmarkStart w:id="184" w:name="_Toc76373912"/>
      <w:bookmarkStart w:id="185" w:name="_Toc4250"/>
      <w:bookmarkStart w:id="186" w:name="_Toc20605"/>
      <w:bookmarkStart w:id="187" w:name="_Toc492721038"/>
      <w:bookmarkStart w:id="188" w:name="_Toc6217"/>
      <w:bookmarkStart w:id="189" w:name="_Toc16151"/>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F09C267">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03A99D8-3A33-4931-91D6-3320387126DF}"/>
  </w:font>
  <w:font w:name="黑体">
    <w:panose1 w:val="02010609060101010101"/>
    <w:charset w:val="86"/>
    <w:family w:val="auto"/>
    <w:pitch w:val="default"/>
    <w:sig w:usb0="800002BF" w:usb1="38CF7CFA" w:usb2="00000016" w:usb3="00000000" w:csb0="00040001" w:csb1="00000000"/>
    <w:embedRegular r:id="rId2" w:fontKey="{AE6ED344-C378-4064-8E47-9EE9D291D5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0629A2E9-06F6-41CD-8583-3CA73883E3D8}"/>
  </w:font>
  <w:font w:name="Arial Unicode MS">
    <w:panose1 w:val="020B0604020202020204"/>
    <w:charset w:val="86"/>
    <w:family w:val="roman"/>
    <w:pitch w:val="default"/>
    <w:sig w:usb0="FFFFFFFF" w:usb1="E9FFFFFF" w:usb2="0000003F" w:usb3="00000000" w:csb0="603F01FF" w:csb1="FFFF0000"/>
    <w:embedRegular r:id="rId4" w:fontKey="{4634EF0B-C721-4F59-96A9-8012CDD5BD19}"/>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A80DAAB2-6E72-4418-B325-1215033BA499}"/>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E6B229FD-06A8-4504-BDF2-96A336B979B5}"/>
  </w:font>
  <w:font w:name="方正黑体_GBK">
    <w:panose1 w:val="03000509000000000000"/>
    <w:charset w:val="86"/>
    <w:family w:val="script"/>
    <w:pitch w:val="default"/>
    <w:sig w:usb0="00000001" w:usb1="080E0000" w:usb2="00000000" w:usb3="00000000" w:csb0="00040000" w:csb1="00000000"/>
    <w:embedRegular r:id="rId7" w:fontKey="{61497D13-75C8-47E4-9422-C252EE155C3E}"/>
  </w:font>
  <w:font w:name="方正小标宋_GBK">
    <w:panose1 w:val="03000509000000000000"/>
    <w:charset w:val="86"/>
    <w:family w:val="script"/>
    <w:pitch w:val="default"/>
    <w:sig w:usb0="00000001" w:usb1="080E0000" w:usb2="00000000" w:usb3="00000000" w:csb0="00040000" w:csb1="00000000"/>
    <w:embedRegular r:id="rId8" w:fontKey="{9A7EF466-2E46-47E4-B7E4-100E4358DB34}"/>
  </w:font>
  <w:font w:name="微软雅黑">
    <w:panose1 w:val="020B0503020204020204"/>
    <w:charset w:val="86"/>
    <w:family w:val="swiss"/>
    <w:pitch w:val="default"/>
    <w:sig w:usb0="80000287" w:usb1="2ACF3C50" w:usb2="00000016" w:usb3="00000000" w:csb0="0004001F" w:csb1="00000000"/>
    <w:embedRegular r:id="rId9" w:fontKey="{AB261E7D-9217-4740-A95F-2B01D192CAAF}"/>
  </w:font>
  <w:font w:name="仿宋">
    <w:panose1 w:val="02010609060101010101"/>
    <w:charset w:val="86"/>
    <w:family w:val="modern"/>
    <w:pitch w:val="default"/>
    <w:sig w:usb0="800002BF" w:usb1="38CF7CFA" w:usb2="00000016" w:usb3="00000000" w:csb0="00040001" w:csb1="00000000"/>
    <w:embedRegular r:id="rId10" w:fontKey="{394F03FF-0B7E-4F4E-BED4-638BDAD53262}"/>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AF3FB3"/>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BFD3E4F"/>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6DE3967"/>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924FA6"/>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5652</Words>
  <Characters>5864</Characters>
  <Lines>101</Lines>
  <Paragraphs>28</Paragraphs>
  <TotalTime>0</TotalTime>
  <ScaleCrop>false</ScaleCrop>
  <LinksUpToDate>false</LinksUpToDate>
  <CharactersWithSpaces>6034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2026-07-28T04:04:03Z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