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31066"/>
      <w:bookmarkStart w:id="1" w:name="_Toc13868"/>
      <w:bookmarkStart w:id="2" w:name="_Toc76373863"/>
      <w:bookmarkStart w:id="3" w:name="_Toc10059"/>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5909"/>
      <w:bookmarkStart w:id="8" w:name="_Toc76373864"/>
      <w:bookmarkStart w:id="9" w:name="_Toc28264"/>
      <w:bookmarkStart w:id="10" w:name="_Toc15376"/>
      <w:bookmarkStart w:id="11" w:name="_Toc22435"/>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项目名称：一次性使用磁定位压力检测脉冲电场消融导管及其配套设备</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76373865"/>
            <w:bookmarkStart w:id="15" w:name="_Toc5838"/>
            <w:bookmarkStart w:id="16" w:name="_Toc22129"/>
            <w:bookmarkStart w:id="17" w:name="_Toc22707"/>
            <w:bookmarkStart w:id="18" w:name="_Toc18060"/>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一次性使用磁定位压力检测脉冲电场消融导管及其配套设备</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eastAsia="zh-CN"/>
              </w:rPr>
              <w:t>心血管内科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五年</w:t>
      </w:r>
    </w:p>
    <w:p w14:paraId="1A22AB3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5496"/>
      <w:bookmarkStart w:id="20" w:name="_Toc3434"/>
      <w:bookmarkStart w:id="21" w:name="_Toc26504"/>
      <w:bookmarkStart w:id="22" w:name="_Toc30358"/>
      <w:bookmarkStart w:id="23" w:name="_Toc10137"/>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心血管内科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心血管内科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心血管内科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心血管内科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4033"/>
      <w:bookmarkStart w:id="40" w:name="_Toc76373872"/>
      <w:bookmarkStart w:id="41" w:name="_Toc9714"/>
      <w:bookmarkStart w:id="42" w:name="_Toc25272"/>
      <w:bookmarkStart w:id="43" w:name="_Toc14224"/>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76373874"/>
      <w:bookmarkStart w:id="48" w:name="_Toc11474"/>
      <w:bookmarkStart w:id="49" w:name="_Toc13391"/>
      <w:bookmarkStart w:id="50" w:name="_Toc2599"/>
      <w:bookmarkStart w:id="51" w:name="_Toc3153"/>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6355"/>
      <w:bookmarkStart w:id="55" w:name="_Toc29225"/>
      <w:bookmarkStart w:id="56" w:name="_Toc30465"/>
      <w:bookmarkStart w:id="57" w:name="_Toc76373876"/>
      <w:bookmarkStart w:id="58" w:name="_Toc29620"/>
      <w:bookmarkStart w:id="59" w:name="_Toc13107"/>
      <w:bookmarkStart w:id="60" w:name="_Toc1955"/>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7687722B">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1.可用于心脏脉冲电场消融治疗心律失常。</w:t>
      </w:r>
    </w:p>
    <w:p w14:paraId="25206EC3">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2.与同品牌电生理三维标测系统、心脏脉冲消融仪配合使用，进行电生理标测、建模及消融等。</w:t>
      </w:r>
    </w:p>
    <w:p w14:paraId="75943C8E">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3.导管外径≤8F。</w:t>
      </w:r>
    </w:p>
    <w:p w14:paraId="0E100C7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4.具备≥4个电极配置，满足临床消融需求。</w:t>
      </w:r>
    </w:p>
    <w:p w14:paraId="3A7729D7">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5.电极间距均匀分布固定间距：1～2电极双极放电聚焦电场消融，精准控制损伤范围，满足复杂解剖结构消融需求。</w:t>
      </w:r>
    </w:p>
    <w:p w14:paraId="4A462C6B">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6.具备磁定位功能。</w:t>
      </w:r>
    </w:p>
    <w:p w14:paraId="469245A7">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7.导管的有效长度≥1000mm。</w:t>
      </w:r>
    </w:p>
    <w:p w14:paraId="06CA4AA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8.导管头端带压力指示功能:能感知头端电极的接触压力和贴靠方向。</w:t>
      </w:r>
    </w:p>
    <w:p w14:paraId="0241A38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9.压力感应模式为微形变、应变片等压力技术。</w:t>
      </w:r>
    </w:p>
    <w:p w14:paraId="4459C0D7">
      <w:pPr>
        <w:pStyle w:val="31"/>
        <w:rPr>
          <w:rFonts w:hint="default"/>
          <w:lang w:val="en-US" w:eastAsia="zh-CN"/>
        </w:rPr>
      </w:pPr>
    </w:p>
    <w:p w14:paraId="782EDD5F">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心脏脉冲电场消融仪</w:t>
      </w:r>
      <w:r>
        <w:rPr>
          <w:rFonts w:hint="eastAsia" w:ascii="Times New Roman" w:hAnsi="Times New Roman" w:cs="Times New Roman"/>
          <w:b w:val="0"/>
          <w:bCs w:val="0"/>
          <w:color w:val="auto"/>
          <w:sz w:val="24"/>
          <w:szCs w:val="24"/>
          <w:lang w:val="en-US" w:eastAsia="zh-CN"/>
        </w:rPr>
        <w:t>：</w:t>
      </w:r>
    </w:p>
    <w:p w14:paraId="671288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专机配套脉冲耗材适应症≥2个。</w:t>
      </w:r>
    </w:p>
    <w:p w14:paraId="44577E2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脉冲电场消融大≥3组消融参数方案可选。</w:t>
      </w:r>
    </w:p>
    <w:p w14:paraId="2C32E299">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脉冲电场消融仪具有同步启动功能，在感知到同步输入端口输入的体表同步信号后输出脉冲能量。</w:t>
      </w:r>
    </w:p>
    <w:p w14:paraId="02B8C78F">
      <w:pPr>
        <w:pStyle w:val="31"/>
        <w:rPr>
          <w:rFonts w:hint="default"/>
          <w:lang w:val="en-US" w:eastAsia="zh-CN"/>
        </w:rPr>
      </w:pPr>
    </w:p>
    <w:p w14:paraId="2CBFB92B">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三维心脏电生理标测系统</w:t>
      </w:r>
      <w:r>
        <w:rPr>
          <w:rFonts w:hint="eastAsia" w:ascii="Times New Roman" w:hAnsi="Times New Roman" w:cs="Times New Roman"/>
          <w:b w:val="0"/>
          <w:bCs w:val="0"/>
          <w:color w:val="auto"/>
          <w:sz w:val="24"/>
          <w:szCs w:val="24"/>
          <w:lang w:val="en-US" w:eastAsia="zh-CN"/>
        </w:rPr>
        <w:t>：</w:t>
      </w:r>
    </w:p>
    <w:p w14:paraId="30CF3550">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具备三维可视化功能。采用磁场和电场混合定位原理，定位误差≤±1mm，兼容同品牌脉冲电场消融系统。</w:t>
      </w:r>
    </w:p>
    <w:p w14:paraId="029F863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具备压力感应功能，可显示组织贴靠的压力大小(精确到克)及组织贴靠的方向。</w:t>
      </w:r>
    </w:p>
    <w:p w14:paraId="13CEBE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具有量化消融模块，能够用数据衡量手术过程中的损伤深度和消融进程并提供量化指标，保证消融效果更加量化可控。</w:t>
      </w:r>
    </w:p>
    <w:p w14:paraId="6BD57247">
      <w:pPr>
        <w:pStyle w:val="3"/>
        <w:ind w:left="0" w:leftChars="0" w:firstLine="0" w:firstLineChars="0"/>
        <w:jc w:val="both"/>
        <w:rPr>
          <w:rFonts w:hint="default"/>
          <w:lang w:val="en-US" w:eastAsia="zh-CN"/>
        </w:rPr>
      </w:pPr>
      <w:bookmarkStart w:id="192" w:name="_GoBack"/>
      <w:bookmarkEnd w:id="192"/>
    </w:p>
    <w:p w14:paraId="17C09448">
      <w:pPr>
        <w:pStyle w:val="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31843"/>
      <w:bookmarkStart w:id="63" w:name="_Toc17944"/>
      <w:bookmarkStart w:id="64" w:name="_Toc15650"/>
      <w:bookmarkStart w:id="65" w:name="_Toc17524"/>
      <w:bookmarkStart w:id="66" w:name="_Toc7794"/>
      <w:bookmarkStart w:id="67" w:name="_Toc4791"/>
      <w:bookmarkStart w:id="68" w:name="_Toc2072"/>
      <w:bookmarkStart w:id="69" w:name="_Toc76373878"/>
      <w:bookmarkStart w:id="70" w:name="_Toc24122"/>
      <w:bookmarkStart w:id="71" w:name="_Toc1768"/>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30551"/>
      <w:bookmarkStart w:id="74" w:name="_Toc22561"/>
      <w:bookmarkStart w:id="75" w:name="_Toc9339"/>
      <w:bookmarkStart w:id="76" w:name="_Toc29836"/>
      <w:bookmarkStart w:id="77" w:name="_Toc14311"/>
      <w:bookmarkStart w:id="78" w:name="_Toc76373879"/>
      <w:bookmarkStart w:id="79" w:name="_Toc5959"/>
      <w:bookmarkStart w:id="80" w:name="_Toc16908"/>
      <w:bookmarkStart w:id="81" w:name="_Toc28942"/>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772"/>
      <w:bookmarkStart w:id="84" w:name="_Toc27737"/>
      <w:bookmarkStart w:id="85" w:name="_Toc2258"/>
      <w:bookmarkStart w:id="86" w:name="_Toc27893"/>
      <w:bookmarkStart w:id="87" w:name="_Toc76373885"/>
      <w:bookmarkStart w:id="88" w:name="_Toc12384"/>
      <w:bookmarkStart w:id="89" w:name="_Toc20263"/>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76373886"/>
      <w:bookmarkStart w:id="91" w:name="_Toc23699"/>
      <w:bookmarkStart w:id="92" w:name="_Toc12712"/>
      <w:bookmarkStart w:id="93" w:name="_Toc7115"/>
      <w:bookmarkStart w:id="94" w:name="_Toc28189"/>
      <w:bookmarkStart w:id="95" w:name="_Toc1105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97" w:name="_Toc9147"/>
      <w:bookmarkStart w:id="98" w:name="_Toc76373887"/>
      <w:bookmarkStart w:id="99" w:name="_Toc19809"/>
      <w:bookmarkStart w:id="100" w:name="_Toc31293"/>
      <w:bookmarkStart w:id="101" w:name="_Toc5535"/>
      <w:bookmarkStart w:id="102" w:name="_Toc13585"/>
      <w:bookmarkStart w:id="103" w:name="_Toc26754"/>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5251"/>
      <w:bookmarkStart w:id="105" w:name="_Toc30068"/>
      <w:bookmarkStart w:id="106" w:name="_Toc76373889"/>
      <w:bookmarkStart w:id="107" w:name="_Toc16925"/>
      <w:bookmarkStart w:id="108" w:name="_Toc2900"/>
      <w:bookmarkStart w:id="109" w:name="_Toc8546"/>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7443"/>
      <w:bookmarkStart w:id="113" w:name="_Toc11342"/>
      <w:bookmarkStart w:id="114" w:name="_Toc20034"/>
      <w:bookmarkStart w:id="115" w:name="_Toc11654"/>
      <w:bookmarkStart w:id="116" w:name="_Toc26071"/>
      <w:bookmarkStart w:id="117" w:name="_Toc76373890"/>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5199"/>
      <w:bookmarkStart w:id="120" w:name="_Toc76373891"/>
      <w:bookmarkStart w:id="121" w:name="_Toc27646"/>
      <w:bookmarkStart w:id="122" w:name="_Toc10864"/>
      <w:bookmarkStart w:id="123" w:name="_Toc20391"/>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975"/>
      <w:bookmarkStart w:id="132" w:name="_Toc10152"/>
      <w:bookmarkStart w:id="133" w:name="_Toc76373904"/>
      <w:bookmarkStart w:id="134" w:name="_Toc19409"/>
      <w:bookmarkStart w:id="135" w:name="_Toc24088"/>
      <w:bookmarkStart w:id="136" w:name="_Toc2076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1892"/>
      <w:bookmarkStart w:id="138" w:name="_Toc25920"/>
      <w:bookmarkStart w:id="139" w:name="_Toc7750"/>
      <w:bookmarkStart w:id="140" w:name="_Toc16112"/>
      <w:bookmarkStart w:id="141" w:name="_Toc12863"/>
      <w:bookmarkStart w:id="142" w:name="_Toc76373907"/>
      <w:bookmarkStart w:id="143" w:name="_Toc11763"/>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3094"/>
      <w:bookmarkStart w:id="152" w:name="_Toc10063"/>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OLE_LINK6"/>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493178790"/>
      <w:bookmarkStart w:id="165" w:name="_Toc9795"/>
      <w:bookmarkStart w:id="166" w:name="_Toc21431"/>
      <w:bookmarkStart w:id="167" w:name="_Toc27306"/>
      <w:bookmarkStart w:id="168" w:name="_Toc76373909"/>
      <w:bookmarkStart w:id="169" w:name="_Toc21830"/>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492721039"/>
      <w:bookmarkStart w:id="174" w:name="_Toc12647"/>
      <w:bookmarkStart w:id="175" w:name="_Toc20875"/>
      <w:bookmarkStart w:id="176" w:name="_Toc76373910"/>
      <w:bookmarkStart w:id="177" w:name="_Toc16487"/>
      <w:bookmarkStart w:id="178" w:name="_Toc411"/>
      <w:bookmarkStart w:id="179" w:name="_Toc20258"/>
      <w:bookmarkStart w:id="180"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19291"/>
      <w:bookmarkStart w:id="183" w:name="_Toc8925"/>
      <w:bookmarkStart w:id="184" w:name="_Toc493178793"/>
      <w:bookmarkStart w:id="185" w:name="_Toc4250"/>
      <w:bookmarkStart w:id="186" w:name="_Toc76373912"/>
      <w:bookmarkStart w:id="187" w:name="_Toc6217"/>
      <w:bookmarkStart w:id="188" w:name="_Toc16151"/>
      <w:bookmarkStart w:id="189" w:name="_Toc20605"/>
      <w:bookmarkStart w:id="190" w:name="_Toc492721038"/>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22A1CCC-93C9-4612-A718-FD879CE598A2}"/>
  </w:font>
  <w:font w:name="黑体">
    <w:panose1 w:val="02010609060101010101"/>
    <w:charset w:val="86"/>
    <w:family w:val="auto"/>
    <w:pitch w:val="default"/>
    <w:sig w:usb0="800002BF" w:usb1="38CF7CFA" w:usb2="00000016" w:usb3="00000000" w:csb0="00040001" w:csb1="00000000"/>
    <w:embedRegular r:id="rId2" w:fontKey="{19378755-EB3F-4A47-849F-D6522283B1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BAEB7EE8-5AC2-45E8-A9DA-0694CE85F198}"/>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8F4B2E17-0A03-48C7-917A-E15F2E49BD5F}"/>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0F98AD2B-273C-41E8-9D9B-3B85B3D3EF87}"/>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2D71A849-560F-46B1-897E-4BE1DFDBD542}"/>
  </w:font>
  <w:font w:name="方正黑体_GBK">
    <w:panose1 w:val="03000509000000000000"/>
    <w:charset w:val="86"/>
    <w:family w:val="script"/>
    <w:pitch w:val="default"/>
    <w:sig w:usb0="00000001" w:usb1="080E0000" w:usb2="00000000" w:usb3="00000000" w:csb0="00040000" w:csb1="00000000"/>
    <w:embedRegular r:id="rId7" w:fontKey="{2516F946-2069-4C80-9239-BCD76CEA152A}"/>
  </w:font>
  <w:font w:name="方正小标宋_GBK">
    <w:panose1 w:val="03000509000000000000"/>
    <w:charset w:val="86"/>
    <w:family w:val="script"/>
    <w:pitch w:val="default"/>
    <w:sig w:usb0="00000001" w:usb1="080E0000" w:usb2="00000000" w:usb3="00000000" w:csb0="00040000" w:csb1="00000000"/>
    <w:embedRegular r:id="rId8" w:fontKey="{82314BFE-EF49-4073-B2CD-C8A377E23BF9}"/>
  </w:font>
  <w:font w:name="微软雅黑">
    <w:panose1 w:val="020B0503020204020204"/>
    <w:charset w:val="86"/>
    <w:family w:val="swiss"/>
    <w:pitch w:val="default"/>
    <w:sig w:usb0="80000287" w:usb1="2ACF3C50" w:usb2="00000016" w:usb3="00000000" w:csb0="0004001F" w:csb1="00000000"/>
    <w:embedRegular r:id="rId9" w:fontKey="{9B7A313A-6E5E-4DD9-BC14-5652A7C03014}"/>
  </w:font>
  <w:font w:name="仿宋">
    <w:panose1 w:val="02010609060101010101"/>
    <w:charset w:val="86"/>
    <w:family w:val="modern"/>
    <w:pitch w:val="default"/>
    <w:sig w:usb0="800002BF" w:usb1="38CF7CFA" w:usb2="00000016" w:usb3="00000000" w:csb0="00040001" w:csb1="00000000"/>
    <w:embedRegular r:id="rId10" w:fontKey="{016A06E2-61ED-449B-80B3-7D273C1CE123}"/>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5740</Words>
  <Characters>5874</Characters>
  <Lines>101</Lines>
  <Paragraphs>28</Paragraphs>
  <TotalTime>0</TotalTime>
  <ScaleCrop>false</ScaleCrop>
  <LinksUpToDate>false</LinksUpToDate>
  <CharactersWithSpaces>6303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2026-07-09T09:30:01Z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