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B9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关于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中层干部培训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服务的需求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方案</w:t>
      </w:r>
    </w:p>
    <w:p w14:paraId="6EC7F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</w:p>
    <w:p w14:paraId="274667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培训背景</w:t>
      </w:r>
    </w:p>
    <w:p w14:paraId="1CDBD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为深入推进公立医院高质量发展战略，强化中层干部承上启下的枢纽作用，提升管理素养与决策执行能力，医院党办基于干部培训需求专题调研，制定本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培训需求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方案。</w:t>
      </w:r>
    </w:p>
    <w:p w14:paraId="601672B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二、培训对象</w:t>
      </w:r>
    </w:p>
    <w:p w14:paraId="0594145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覆盖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全院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管理干部及科室骨干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（单次培训约300人）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，具体包括：</w:t>
      </w:r>
    </w:p>
    <w:p w14:paraId="1AD297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1.医院各临床医技科室主任、护士长、主任助理、护士长助理；</w:t>
      </w:r>
    </w:p>
    <w:p w14:paraId="4078FA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2.各职能部门处、科级干部；</w:t>
      </w:r>
    </w:p>
    <w:p w14:paraId="5DD5562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3.专项骨干：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涉及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人事、财务、运营、医保、科研、信息、宣传等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方面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的职能部门和临床医技科室骨干人员。</w:t>
      </w:r>
      <w:bookmarkStart w:id="0" w:name="_GoBack"/>
      <w:bookmarkEnd w:id="0"/>
    </w:p>
    <w:p w14:paraId="1E0885A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三、培训时间</w:t>
      </w:r>
    </w:p>
    <w:p w14:paraId="3CD2575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计划于2026-2027年开展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，拟安排35门课程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，总计70学时，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每周安排1门课程，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具体安排以实际培训为准。</w:t>
      </w:r>
    </w:p>
    <w:p w14:paraId="1AD0C42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四、培训方式</w:t>
      </w:r>
    </w:p>
    <w:p w14:paraId="7B32F0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采用多元化教学形式，兼顾理论输入与实操落地：</w:t>
      </w:r>
    </w:p>
    <w:p w14:paraId="50137F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1.集中授课：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邀请医院管理领域知名专家学者、资深医院管理者进行专题讲座，系统讲解管理理论、分享经验和实操方法。</w:t>
      </w:r>
    </w:p>
    <w:p w14:paraId="2E72EF9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2.案例分析：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结合我院实际，深度剖析国内标杆医院的DRG实施、绩效考核、学科建设等真实管理案例。</w:t>
      </w:r>
    </w:p>
    <w:p w14:paraId="61BA67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3.圆桌对话：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组织学员与专家围绕管理痛点、工作困惑开展互动交流，精准解答实际工作中面临的困难</w:t>
      </w:r>
      <w:r>
        <w:rPr>
          <w:rFonts w:hint="default" w:ascii="Times New Roman" w:hAnsi="Times New Roman" w:eastAsia="方正仿宋_GBK" w:cs="Times New Roman"/>
          <w:color w:val="1F2329"/>
          <w:kern w:val="0"/>
          <w:sz w:val="31"/>
          <w:szCs w:val="31"/>
          <w:lang w:val="en-US" w:eastAsia="zh-CN" w:bidi="ar"/>
        </w:rPr>
        <w:t>。</w:t>
      </w:r>
    </w:p>
    <w:p w14:paraId="57F22A8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4.模拟演练：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设置医院管理中的常见场景（如跨部门协调会议、绩效面谈、冲突调解等），让学员进行模拟演练，由培训导师现场点评和指导。</w:t>
      </w:r>
    </w:p>
    <w:p w14:paraId="46DE34D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五、课程体系</w:t>
      </w:r>
    </w:p>
    <w:p w14:paraId="4D675E6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培训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需按照综合管理和专业能力分为2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大专题、16个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方面，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共35门课程。</w:t>
      </w:r>
    </w:p>
    <w:tbl>
      <w:tblPr>
        <w:tblStyle w:val="2"/>
        <w:tblW w:w="8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8"/>
        <w:gridCol w:w="1758"/>
        <w:gridCol w:w="6093"/>
      </w:tblGrid>
      <w:tr w14:paraId="2A88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  <w:tblHeader/>
        </w:trPr>
        <w:tc>
          <w:tcPr>
            <w:tcW w:w="0" w:type="auto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418D84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专题</w:t>
            </w:r>
          </w:p>
        </w:tc>
        <w:tc>
          <w:tcPr>
            <w:tcW w:w="1758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B81100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模块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2CD45D">
            <w:pPr>
              <w:keepNext w:val="0"/>
              <w:keepLines w:val="0"/>
              <w:widowControl/>
              <w:suppressLineNumbers w:val="0"/>
              <w:spacing w:line="188" w:lineRule="atLeast"/>
              <w:jc w:val="center"/>
              <w:rPr>
                <w:rFonts w:hint="default" w:ascii="Times New Roman" w:hAnsi="Times New Roman" w:eastAsia="方正黑体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课程题目</w:t>
            </w:r>
          </w:p>
        </w:tc>
      </w:tr>
      <w:tr w14:paraId="5AE65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restart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53E84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024CA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7BFEE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1A328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2BDE0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37BC5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175F5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45B00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7278F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135ED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3320C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（一）综合管理能力提升专题</w:t>
            </w:r>
          </w:p>
          <w:p w14:paraId="57D87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9AC9A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1.政策环境与战略思维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A83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公立医院绩效考核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国考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指标深度解读与管理改进</w:t>
            </w:r>
          </w:p>
        </w:tc>
      </w:tr>
      <w:tr w14:paraId="61F1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3B5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2CE0E5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75F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十五五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开局之年医院高质量发展的战略选择与中层干部行动指南</w:t>
            </w:r>
          </w:p>
        </w:tc>
      </w:tr>
      <w:tr w14:paraId="13B9B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C95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EC9CB4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2.角色认知与领导力提升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AF8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中层管理者的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三重身份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——领导者、管理者、执行者的角色融合</w:t>
            </w:r>
          </w:p>
        </w:tc>
      </w:tr>
      <w:tr w14:paraId="6B6F5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2AE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46B712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A87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医院中层干部的角色定位与能力素养</w:t>
            </w:r>
          </w:p>
        </w:tc>
      </w:tr>
      <w:tr w14:paraId="0CF7A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C51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4648F6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3.团队建设与沟通协作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1FF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关键对话——高风险场景下的沟通技巧</w:t>
            </w:r>
          </w:p>
        </w:tc>
      </w:tr>
      <w:tr w14:paraId="7D6FD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DE7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657CB1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021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高效团队建设与员工激励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打造凝聚力科室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7DA23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B8F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EACBA5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4.行政办公与综合素养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175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高质量发展背景下的办公室高效运作与管理实务</w:t>
            </w:r>
          </w:p>
        </w:tc>
      </w:tr>
      <w:tr w14:paraId="6565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73A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80CC62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AE2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全媒体背景下医院突发事件处置与舆情应对技巧</w:t>
            </w:r>
          </w:p>
        </w:tc>
      </w:tr>
      <w:tr w14:paraId="7DD5C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AB4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5C131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5.医疗质量与安全管理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80F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医患纠纷应对处置与沟通技巧及医疗事故预防</w:t>
            </w:r>
          </w:p>
        </w:tc>
      </w:tr>
      <w:tr w14:paraId="3741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1B1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AF5DEE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B94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2026年国家医疗质量安全改进目标深度解读与科室落地路径</w:t>
            </w:r>
          </w:p>
        </w:tc>
      </w:tr>
      <w:tr w14:paraId="5412B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072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BA1A43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6.创新思维与精细化管理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078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医院精细化管理的实践与思考</w:t>
            </w:r>
          </w:p>
        </w:tc>
      </w:tr>
      <w:tr w14:paraId="527A1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58C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736AAC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D4A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数据驱动的医院管理决策——从经验到精准</w:t>
            </w:r>
          </w:p>
        </w:tc>
      </w:tr>
      <w:tr w14:paraId="22167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7AC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0EDFC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7.其他备选课程（综合类）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9C2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打造高绩效科室团队——从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一群人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到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一条心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”</w:t>
            </w:r>
          </w:p>
        </w:tc>
      </w:tr>
      <w:tr w14:paraId="41F0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D77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DD3215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B9A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高效能中层的时间管理与精力分配策略</w:t>
            </w:r>
          </w:p>
        </w:tc>
      </w:tr>
      <w:tr w14:paraId="2A61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51B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9B49A6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5B9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管理者的情绪智力与自我修炼</w:t>
            </w:r>
          </w:p>
        </w:tc>
      </w:tr>
      <w:tr w14:paraId="5E9F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restart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4A6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3C57D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4CAA5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0A376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4FD18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58662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19C26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540BD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56F2F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2AA63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38743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2C378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0F2FF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p w14:paraId="55FAA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0106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（二）专业业务能力提升专题</w:t>
            </w:r>
          </w:p>
          <w:p w14:paraId="03C76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8B6A2E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8.人事管理与学科建设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A6E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学科带头人核心能力构建与科室人才梯队培养</w:t>
            </w:r>
          </w:p>
        </w:tc>
      </w:tr>
      <w:tr w14:paraId="2FCD3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568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90AFFF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F6B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学科规划与重点学科建设——从顶层设计到落地实施</w:t>
            </w:r>
          </w:p>
        </w:tc>
      </w:tr>
      <w:tr w14:paraId="411F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BFC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05400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9.财务管理与成本管控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473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DRG支付背景下公立医院成本体系构建</w:t>
            </w:r>
          </w:p>
        </w:tc>
      </w:tr>
      <w:tr w14:paraId="6C7A1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A25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3F4D52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21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医院经济运营分析与决策支持</w:t>
            </w:r>
          </w:p>
        </w:tc>
      </w:tr>
      <w:tr w14:paraId="1389B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819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93754F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912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医院全面预算管理与精细化成本管控</w:t>
            </w:r>
          </w:p>
        </w:tc>
      </w:tr>
      <w:tr w14:paraId="54A7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B55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FDDFC8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10.运营管理与绩效优化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B11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科室运营数据分析与经营决策——从数据到行动</w:t>
            </w:r>
          </w:p>
        </w:tc>
      </w:tr>
      <w:tr w14:paraId="0FE7C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381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F18325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E85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薪酬制度改革、绩效考核及绩效工资分配</w:t>
            </w:r>
          </w:p>
        </w:tc>
      </w:tr>
      <w:tr w14:paraId="2E69F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CB6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E29F2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11.医保管理与支付改革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BA6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医保精益化管理实践与基金监管风险防控</w:t>
            </w:r>
          </w:p>
        </w:tc>
      </w:tr>
      <w:tr w14:paraId="2EAD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EF9491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0F6C3D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B4F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最新DRG分组方案剖析及各疾病大类编码实操</w:t>
            </w:r>
          </w:p>
        </w:tc>
      </w:tr>
      <w:tr w14:paraId="6AA74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A6725F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582FC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12.临床科研与学术能力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0FE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临床科研选题、申报书撰写与课题设计</w:t>
            </w:r>
          </w:p>
        </w:tc>
      </w:tr>
      <w:tr w14:paraId="519C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DC016C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365915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F18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科研成果转化与知识产权保护</w:t>
            </w:r>
          </w:p>
        </w:tc>
      </w:tr>
      <w:tr w14:paraId="5F0CF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76303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B9755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13.智慧医院与人工智能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3F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人工智能赋能医院办公效能提升与科研创新</w:t>
            </w:r>
          </w:p>
        </w:tc>
      </w:tr>
      <w:tr w14:paraId="10277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E2C892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79999C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374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智慧医院建设及人工智能在临床诊疗中的应用</w:t>
            </w:r>
          </w:p>
        </w:tc>
      </w:tr>
      <w:tr w14:paraId="2241A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BEC289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115437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14.医学科普与健康传播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215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医学科普短视频创作技巧与新媒体运营</w:t>
            </w:r>
          </w:p>
        </w:tc>
      </w:tr>
      <w:tr w14:paraId="3A924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B88D3E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95ADEE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2A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医学科普的法律风险与合规建议</w:t>
            </w:r>
          </w:p>
        </w:tc>
      </w:tr>
      <w:tr w14:paraId="1CC8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34AF1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EC2D4B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15.医院经营管理综合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7D4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医疗品质管理与患者服务创新</w:t>
            </w:r>
          </w:p>
        </w:tc>
      </w:tr>
      <w:tr w14:paraId="2103A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D6FD4B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F3573A">
            <w:pP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F98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医院服务营销战略与品牌打造</w:t>
            </w:r>
          </w:p>
        </w:tc>
      </w:tr>
      <w:tr w14:paraId="1851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68435D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FE3D5C">
            <w:pPr>
              <w:keepNext w:val="0"/>
              <w:keepLines w:val="0"/>
              <w:widowControl/>
              <w:suppressLineNumbers w:val="0"/>
              <w:spacing w:line="188" w:lineRule="atLeast"/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16.其他备选课（专业类）</w:t>
            </w: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401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多中心临床研究协作与数据共享机制</w:t>
            </w:r>
          </w:p>
        </w:tc>
      </w:tr>
      <w:tr w14:paraId="5719F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</w:trPr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5615F7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2AED1E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376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科室运营数据建模与经营决策模拟</w:t>
            </w:r>
          </w:p>
        </w:tc>
      </w:tr>
      <w:tr w14:paraId="3CE70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8" w:type="dxa"/>
            <w:vMerge w:val="continue"/>
            <w:shd w:val="clear" w:color="auto" w:fill="FFFFFF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D402FA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C6A606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2"/>
                <w:szCs w:val="22"/>
              </w:rPr>
            </w:pPr>
          </w:p>
        </w:tc>
        <w:tc>
          <w:tcPr>
            <w:tcW w:w="6093" w:type="dxa"/>
            <w:shd w:val="clear" w:color="auto" w:fill="FFFFFF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7ED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医疗短视频IP打造与医患信任构建</w:t>
            </w:r>
          </w:p>
        </w:tc>
      </w:tr>
    </w:tbl>
    <w:p w14:paraId="5A8C3C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六、实施与师资要求</w:t>
      </w:r>
    </w:p>
    <w:p w14:paraId="6FE29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授课管理</w:t>
      </w:r>
    </w:p>
    <w:p w14:paraId="07A39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（1）培训机构需指派专人任联络人，安排并落实培训过程中与教学相关的全部工作；</w:t>
      </w:r>
    </w:p>
    <w:p w14:paraId="71A0CC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（2）将学员对教学过程中的建议或意见及时反馈给教师，促进学员与授课专家之间的沟通和交流；</w:t>
      </w:r>
    </w:p>
    <w:p w14:paraId="3F42AF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授课前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授课提纲发放给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我院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，以保障教学质量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7AC4C6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（4）师资在培训过程中产生的交通、餐饮、住宿、资料印刷等费用均由培训机构承担。</w:t>
      </w:r>
    </w:p>
    <w:p w14:paraId="570F5A3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培训师资</w:t>
      </w:r>
    </w:p>
    <w:p w14:paraId="4D2E9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需为国内医院管理领域专家、知名学者及优秀教学名师，具备对应学术背景、专业水准与丰富授课经验。合作培训机构提供备选师资名单，经我院审核同意后方可授课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185EB8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25E4E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79C4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党委办公室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3D232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2026年7月29日</w:t>
      </w:r>
    </w:p>
    <w:sectPr>
      <w:pgSz w:w="11907" w:h="16840"/>
      <w:pgMar w:top="2098" w:right="1474" w:bottom="1984" w:left="1587" w:header="851" w:footer="476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8538C"/>
    <w:multiLevelType w:val="singleLevel"/>
    <w:tmpl w:val="FFB8538C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B65C278"/>
    <w:multiLevelType w:val="singleLevel"/>
    <w:tmpl w:val="3B65C2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85D5E"/>
    <w:rsid w:val="046707AC"/>
    <w:rsid w:val="06323BEE"/>
    <w:rsid w:val="079938D9"/>
    <w:rsid w:val="07B172B0"/>
    <w:rsid w:val="11E23757"/>
    <w:rsid w:val="177A72E2"/>
    <w:rsid w:val="181E3678"/>
    <w:rsid w:val="19FD7254"/>
    <w:rsid w:val="1A167B14"/>
    <w:rsid w:val="1A701567"/>
    <w:rsid w:val="1CA060BE"/>
    <w:rsid w:val="236D5C9A"/>
    <w:rsid w:val="252643B0"/>
    <w:rsid w:val="26D2797C"/>
    <w:rsid w:val="28731A84"/>
    <w:rsid w:val="2DD76130"/>
    <w:rsid w:val="3054564A"/>
    <w:rsid w:val="37A85DC8"/>
    <w:rsid w:val="38FE5EE6"/>
    <w:rsid w:val="394301D4"/>
    <w:rsid w:val="3A000FD7"/>
    <w:rsid w:val="3A1B0786"/>
    <w:rsid w:val="3AFA32B3"/>
    <w:rsid w:val="3C6A58B4"/>
    <w:rsid w:val="425B5C8A"/>
    <w:rsid w:val="4401498D"/>
    <w:rsid w:val="45534437"/>
    <w:rsid w:val="4C016428"/>
    <w:rsid w:val="4DA959EA"/>
    <w:rsid w:val="50951841"/>
    <w:rsid w:val="5A023DD0"/>
    <w:rsid w:val="5A22787F"/>
    <w:rsid w:val="5EB91450"/>
    <w:rsid w:val="605D45AD"/>
    <w:rsid w:val="62656FC9"/>
    <w:rsid w:val="64FE31DD"/>
    <w:rsid w:val="655A6E35"/>
    <w:rsid w:val="66886519"/>
    <w:rsid w:val="67F73E3E"/>
    <w:rsid w:val="704934AE"/>
    <w:rsid w:val="70C40F7D"/>
    <w:rsid w:val="74607359"/>
    <w:rsid w:val="76A31809"/>
    <w:rsid w:val="7B741218"/>
    <w:rsid w:val="7E1D3F2F"/>
    <w:rsid w:val="7EF83100"/>
    <w:rsid w:val="7F5F013D"/>
    <w:rsid w:val="7F736617"/>
    <w:rsid w:val="7F84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13943e05-dc40-4e28-b946-b8dd6f885fb3</errorID>
      <errorWord>全员</errorWord>
      <group>L1_Word</group>
      <groupName>字词问题</groupName>
      <ability>L2_Typo</ability>
      <abilityName>字词错误</abilityName>
      <candidateList>
        <item>全院</item>
      </candidateList>
      <explain>存在发音相同字词的误用。</explain>
      <paraID> 594145F</paraID>
      <start>2</start>
      <end>4</end>
      <status>modified</status>
      <modifiedWord>全院</modifiedWord>
      <trackRevisions>false</trackRevisions>
    </reviewItem>
    <reviewItem>
      <errorID>1bc0b7fc-8ca4-48bc-8235-c83c297f55a1</errorID>
      <errorWord>约在</errorWord>
      <group>L1_Word</group>
      <groupName>字词问题</groupName>
      <ability>L2_Typo</ability>
      <abilityName>字词错误</abilityName>
      <candidateList>
        <item>约</item>
      </candidateList>
      <explain/>
      <paraID> 594145F</paraID>
      <start>18</start>
      <end>19</end>
      <status>modified</status>
      <modifiedWord>约</modifiedWord>
      <trackRevisions>false</trackRevisions>
    </reviewItem>
    <reviewItem>
      <errorID>28224218-92a9-4030-a4fa-d1f63adc4a3a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3CD2575C</paraID>
      <start>7</start>
      <end>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50c55e2-9fff-481b-8d1e-2fbc605bb7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1503</Words>
  <Characters>1568</Characters>
  <Lines>0</Lines>
  <Paragraphs>0</Paragraphs>
  <TotalTime>9</TotalTime>
  <ScaleCrop>false</ScaleCrop>
  <LinksUpToDate>false</LinksUpToDate>
  <CharactersWithSpaces>1571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2021-07-09T06:19:00Z</dcterms:created>
  <dc:creator>user</dc:creator>
  <cp:lastModifiedBy>一叶一</cp:lastModifiedBy>
  <dcterms:modified xsi:type="dcterms:W3CDTF">2026-07-30T07:28:19Z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8F36D371C6AD423FBB05783DB21B34E1_13</vt:lpwstr>
  </property>
  <property fmtid="{D5CDD505-2E9C-101B-9397-08002B2CF9AE}" pid="4" name="KSOTemplateDocerSaveRecord">
    <vt:lpwstr>eyJoZGlkIjoiZjdkZDhhMzBiMWJkN2FkNjZiNjA2NzJjYjRlOTBmNzEiLCJ1c2VySWQiOiIyNTE0MTE0MTMifQ==</vt:lpwstr>
  </property>
</Properties>
</file>