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76373863"/>
      <w:bookmarkStart w:id="2" w:name="_Toc13868"/>
      <w:bookmarkStart w:id="3" w:name="_Toc31066"/>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76373864"/>
      <w:bookmarkStart w:id="8" w:name="_Toc22435"/>
      <w:bookmarkStart w:id="9" w:name="_Toc5909"/>
      <w:bookmarkStart w:id="10" w:name="_Toc28264"/>
      <w:bookmarkStart w:id="11" w:name="_Toc15376"/>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25F3D3E">
      <w:pPr>
        <w:widowControl/>
        <w:spacing w:line="400" w:lineRule="exact"/>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妇产科一次性使用手动流产吸引器引流管</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22129"/>
            <w:bookmarkStart w:id="16" w:name="_Toc76373865"/>
            <w:bookmarkStart w:id="17" w:name="_Toc22707"/>
            <w:bookmarkStart w:id="18" w:name="_Toc5838"/>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57017A">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一次性使用手动流产吸引器/引流管</w:t>
            </w:r>
          </w:p>
        </w:tc>
        <w:tc>
          <w:tcPr>
            <w:tcW w:w="1485" w:type="dxa"/>
            <w:shd w:val="clear" w:color="auto" w:fill="auto"/>
            <w:noWrap w:val="0"/>
            <w:vAlign w:val="center"/>
          </w:tcPr>
          <w:p w14:paraId="3F6F098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1889599">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18DA0E21">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妇产科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686CB86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69A4D6D">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562DFA78">
      <w:pPr>
        <w:pStyle w:val="2"/>
        <w:rPr>
          <w:rFonts w:hint="eastAsia"/>
          <w:color w:val="auto"/>
        </w:rPr>
      </w:pPr>
      <w:bookmarkStart w:id="19" w:name="_Toc10137"/>
      <w:bookmarkStart w:id="20" w:name="_Toc25496"/>
      <w:bookmarkStart w:id="21" w:name="_Toc76373866"/>
      <w:bookmarkStart w:id="22" w:name="_Toc3434"/>
      <w:bookmarkStart w:id="23" w:name="_Toc26504"/>
      <w:bookmarkStart w:id="24" w:name="_Toc30358"/>
    </w:p>
    <w:p w14:paraId="20FC5D1D">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yellow"/>
        </w:rPr>
      </w:pPr>
      <w:r>
        <w:rPr>
          <w:rFonts w:hint="eastAsia" w:ascii="宋体" w:hAnsi="宋体" w:cs="宋体"/>
          <w:bCs/>
          <w:color w:val="auto"/>
          <w:sz w:val="24"/>
          <w:highlight w:val="yellow"/>
          <w:lang w:val="en-US" w:eastAsia="zh-CN"/>
        </w:rPr>
        <w:t>竞选</w:t>
      </w:r>
      <w:r>
        <w:rPr>
          <w:rFonts w:hint="eastAsia" w:ascii="宋体" w:hAnsi="宋体" w:cs="宋体"/>
          <w:bCs/>
          <w:color w:val="auto"/>
          <w:sz w:val="24"/>
          <w:highlight w:val="yellow"/>
        </w:rPr>
        <w:t>人</w:t>
      </w:r>
      <w:r>
        <w:rPr>
          <w:rFonts w:hint="eastAsia" w:ascii="宋体" w:hAnsi="宋体" w:cs="宋体"/>
          <w:bCs/>
          <w:color w:val="auto"/>
          <w:sz w:val="24"/>
          <w:szCs w:val="24"/>
          <w:highlight w:val="yellow"/>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1.基本资格条件</w:t>
      </w:r>
    </w:p>
    <w:p w14:paraId="2E605471">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6）提供</w:t>
      </w:r>
      <w:r>
        <w:rPr>
          <w:rFonts w:hint="eastAsia" w:ascii="宋体" w:hAnsi="宋体" w:cs="宋体"/>
          <w:color w:val="auto"/>
          <w:sz w:val="24"/>
          <w:szCs w:val="24"/>
          <w:highlight w:val="yellow"/>
        </w:rPr>
        <w:t>《医药价格和招采信用评级等级承诺书》</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rPr>
        <w:t>（</w:t>
      </w:r>
      <w:r>
        <w:rPr>
          <w:rFonts w:hint="eastAsia" w:ascii="宋体" w:hAnsi="宋体" w:cs="宋体"/>
          <w:color w:val="auto"/>
          <w:sz w:val="24"/>
          <w:szCs w:val="24"/>
          <w:highlight w:val="yellow"/>
          <w:lang w:val="en-US" w:eastAsia="zh-CN"/>
        </w:rPr>
        <w:t>7</w:t>
      </w:r>
      <w:r>
        <w:rPr>
          <w:rFonts w:hint="eastAsia" w:ascii="宋体" w:hAnsi="宋体" w:cs="宋体"/>
          <w:color w:val="auto"/>
          <w:sz w:val="24"/>
          <w:szCs w:val="24"/>
          <w:highlight w:val="yellow"/>
        </w:rPr>
        <w:t>）法律、行政法规规定的其他条件</w:t>
      </w:r>
      <w:r>
        <w:rPr>
          <w:rFonts w:hint="eastAsia" w:ascii="宋体" w:hAnsi="宋体" w:cs="宋体"/>
          <w:color w:val="auto"/>
          <w:sz w:val="24"/>
          <w:szCs w:val="24"/>
          <w:highlight w:val="yellow"/>
          <w:lang w:eastAsia="zh-CN"/>
        </w:rPr>
        <w:t>。</w:t>
      </w:r>
    </w:p>
    <w:p w14:paraId="240D182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2.特定资格条件</w:t>
      </w:r>
    </w:p>
    <w:p w14:paraId="476C4E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rPr>
        <w:t>（4）</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yellow"/>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yellow"/>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yellow"/>
          <w:lang w:val="en-US" w:eastAsia="zh-CN"/>
        </w:rPr>
        <w:t>同一合同项</w:t>
      </w:r>
      <w:r>
        <w:rPr>
          <w:rFonts w:hint="eastAsia" w:ascii="宋体" w:hAnsi="宋体" w:cs="宋体"/>
          <w:color w:val="auto"/>
          <w:sz w:val="24"/>
          <w:szCs w:val="24"/>
          <w:highlight w:val="yellow"/>
        </w:rPr>
        <w:t>（分包）</w:t>
      </w:r>
      <w:r>
        <w:rPr>
          <w:rFonts w:hint="eastAsia" w:ascii="宋体" w:hAnsi="宋体" w:cs="宋体"/>
          <w:color w:val="auto"/>
          <w:sz w:val="24"/>
          <w:szCs w:val="24"/>
          <w:highlight w:val="yellow"/>
          <w:lang w:val="en-US" w:eastAsia="zh-CN"/>
        </w:rPr>
        <w:t>具体项目</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28099"/>
      <w:bookmarkStart w:id="31" w:name="_Toc654"/>
      <w:bookmarkStart w:id="32" w:name="_Toc18799"/>
      <w:bookmarkStart w:id="33" w:name="_Toc7527"/>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2026年8月3日 17：00</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eastAsia" w:cs="Times New Roman"/>
          <w:b w:val="0"/>
          <w:bCs/>
          <w:color w:val="auto"/>
          <w:kern w:val="0"/>
          <w:sz w:val="24"/>
          <w:szCs w:val="24"/>
          <w:u w:val="single"/>
          <w:lang w:val="en-US" w:eastAsia="zh-CN"/>
        </w:rPr>
        <w:t>1530733634</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妇产科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妇产科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i w:val="0"/>
          <w:iCs w:val="0"/>
          <w:color w:val="auto"/>
          <w:kern w:val="0"/>
          <w:sz w:val="24"/>
          <w:szCs w:val="24"/>
          <w:u w:val="none"/>
          <w:lang w:val="en-US" w:eastAsia="zh-CN" w:bidi="ar"/>
        </w:rPr>
        <w:t>妇产科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i w:val="0"/>
          <w:iCs w:val="0"/>
          <w:color w:val="auto"/>
          <w:kern w:val="0"/>
          <w:sz w:val="24"/>
          <w:szCs w:val="24"/>
          <w:u w:val="none"/>
          <w:lang w:val="en-US" w:eastAsia="zh-CN" w:bidi="ar"/>
        </w:rPr>
        <w:t>妇产</w:t>
      </w:r>
      <w:r>
        <w:rPr>
          <w:rFonts w:hint="eastAsia" w:ascii="宋体" w:hAnsi="宋体" w:cs="宋体"/>
          <w:color w:val="auto"/>
          <w:sz w:val="24"/>
          <w:szCs w:val="24"/>
          <w:u w:val="single"/>
          <w:lang w:val="en-US" w:eastAsia="zh-CN"/>
        </w:rPr>
        <w:t>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制作竞选文件时，“</w:t>
      </w:r>
      <w:r>
        <w:rPr>
          <w:rFonts w:hint="eastAsia" w:ascii="宋体" w:hAnsi="宋体" w:eastAsia="宋体" w:cs="宋体"/>
          <w:color w:val="auto"/>
          <w:sz w:val="24"/>
          <w:szCs w:val="24"/>
          <w:highlight w:val="yellow"/>
        </w:rPr>
        <w:t>开标现场最终报价表</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须</w:t>
      </w:r>
      <w:bookmarkStart w:id="37" w:name="OLE_LINK4"/>
      <w:r>
        <w:rPr>
          <w:rFonts w:hint="default" w:ascii="宋体" w:hAnsi="宋体" w:eastAsia="宋体" w:cs="宋体"/>
          <w:color w:val="auto"/>
          <w:sz w:val="24"/>
          <w:szCs w:val="24"/>
          <w:highlight w:val="yellow"/>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yellow"/>
          <w:lang w:eastAsia="zh-CN"/>
        </w:rPr>
        <w:t>。</w:t>
      </w:r>
      <w:r>
        <w:rPr>
          <w:rFonts w:hint="default" w:ascii="宋体" w:hAnsi="宋体" w:eastAsia="宋体" w:cs="宋体"/>
          <w:color w:val="auto"/>
          <w:sz w:val="24"/>
          <w:szCs w:val="24"/>
          <w:highlight w:val="yellow"/>
        </w:rPr>
        <w:t>“耗材报名表”填写时不得改变文档格式，所有标红项为必填项，若没有相关情况则写“无”</w:t>
      </w:r>
      <w:r>
        <w:rPr>
          <w:rFonts w:hint="eastAsia" w:ascii="宋体" w:hAnsi="宋体" w:eastAsia="宋体" w:cs="宋体"/>
          <w:color w:val="auto"/>
          <w:sz w:val="24"/>
          <w:szCs w:val="24"/>
          <w:highlight w:val="yellow"/>
          <w:lang w:eastAsia="zh-CN"/>
        </w:rPr>
        <w:t>。</w:t>
      </w:r>
    </w:p>
    <w:p w14:paraId="4D2178DB">
      <w:pPr>
        <w:widowControl/>
        <w:spacing w:line="400" w:lineRule="exact"/>
        <w:outlineLvl w:val="1"/>
        <w:rPr>
          <w:rFonts w:hint="eastAsia" w:ascii="宋体" w:hAnsi="宋体" w:cs="宋体"/>
          <w:b/>
          <w:color w:val="auto"/>
          <w:sz w:val="24"/>
        </w:rPr>
      </w:pPr>
      <w:bookmarkStart w:id="38" w:name="_Toc768"/>
      <w:bookmarkStart w:id="39" w:name="_Toc18950"/>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lang w:val="en-US" w:eastAsia="zh-CN"/>
        </w:rPr>
      </w:pPr>
      <w:r>
        <w:rPr>
          <w:rFonts w:hint="eastAsia" w:ascii="宋体" w:hAnsi="宋体" w:eastAsia="宋体" w:cs="宋体"/>
          <w:color w:val="auto"/>
          <w:szCs w:val="24"/>
        </w:rPr>
        <w:t>2.</w:t>
      </w:r>
      <w:r>
        <w:rPr>
          <w:rFonts w:hint="eastAsia" w:ascii="宋体" w:hAnsi="宋体" w:eastAsia="宋体" w:cs="宋体"/>
          <w:color w:val="auto"/>
          <w:szCs w:val="24"/>
          <w:lang w:val="en-US" w:eastAsia="zh-CN"/>
        </w:rPr>
        <w:t>预计</w:t>
      </w:r>
      <w:r>
        <w:rPr>
          <w:rFonts w:hint="eastAsia" w:ascii="宋体" w:hAnsi="宋体" w:eastAsia="宋体" w:cs="宋体"/>
          <w:color w:val="auto"/>
          <w:szCs w:val="24"/>
        </w:rPr>
        <w:t xml:space="preserve">采购谈判时间： </w:t>
      </w:r>
      <w:r>
        <w:rPr>
          <w:rFonts w:hint="eastAsia" w:ascii="宋体" w:hAnsi="宋体" w:eastAsia="宋体" w:cs="宋体"/>
          <w:color w:val="auto"/>
          <w:szCs w:val="24"/>
          <w:shd w:val="clear" w:color="auto" w:fill="FFFFFF"/>
          <w:lang w:val="en-US" w:eastAsia="zh-CN"/>
        </w:rPr>
        <w:t>2026年8月5</w:t>
      </w:r>
      <w:bookmarkStart w:id="195" w:name="_GoBack"/>
      <w:bookmarkEnd w:id="195"/>
      <w:r>
        <w:rPr>
          <w:rFonts w:hint="eastAsia" w:ascii="宋体" w:hAnsi="宋体" w:eastAsia="宋体" w:cs="宋体"/>
          <w:color w:val="auto"/>
          <w:szCs w:val="24"/>
          <w:shd w:val="clear" w:color="auto" w:fill="FFFFFF"/>
          <w:lang w:val="en-US" w:eastAsia="zh-CN"/>
        </w:rPr>
        <w:t>-7日（具体时间电话另行通知）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邓</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023-63693385</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76373872"/>
      <w:bookmarkStart w:id="43" w:name="_Toc14224"/>
      <w:bookmarkStart w:id="44" w:name="_Toc25272"/>
      <w:bookmarkStart w:id="45" w:name="_Toc4033"/>
      <w:bookmarkStart w:id="46" w:name="_Toc9714"/>
      <w:bookmarkStart w:id="47" w:name="_Toc21905"/>
      <w:bookmarkStart w:id="48" w:name="_Toc20138"/>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76373874"/>
      <w:bookmarkStart w:id="51" w:name="_Toc2599"/>
      <w:bookmarkStart w:id="52" w:name="_Toc3153"/>
      <w:bookmarkStart w:id="53" w:name="_Toc11474"/>
      <w:bookmarkStart w:id="54" w:name="_Toc13391"/>
      <w:bookmarkStart w:id="55" w:name="_Toc27187"/>
      <w:bookmarkStart w:id="56" w:name="_Toc25148"/>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225"/>
      <w:bookmarkStart w:id="58" w:name="_Toc29620"/>
      <w:bookmarkStart w:id="59" w:name="_Toc6355"/>
      <w:bookmarkStart w:id="60" w:name="_Toc76373876"/>
      <w:bookmarkStart w:id="61" w:name="_Toc30465"/>
      <w:bookmarkStart w:id="62" w:name="_Toc1955"/>
      <w:bookmarkStart w:id="63" w:name="_Toc13107"/>
    </w:p>
    <w:p w14:paraId="2A7A6426">
      <w:pPr>
        <w:spacing w:line="320" w:lineRule="exact"/>
        <w:ind w:left="479" w:leftChars="85" w:hanging="241" w:hangingChars="1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1一次性使用手动流产吸引器/引流管</w:t>
      </w:r>
    </w:p>
    <w:p w14:paraId="6B8B0FB2">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功能用途：用于终止早期妊娠（人工流产），清除妊娠残留物（不全流产或流产后清宫），诊断性刮宫（取子宫内膜活检）。</w:t>
      </w:r>
    </w:p>
    <w:p w14:paraId="23F0D462">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技术参数：</w:t>
      </w:r>
    </w:p>
    <w:p w14:paraId="6DADE11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1.产品由一次性使用负压吸引器和宫腔吸引管组成。</w:t>
      </w:r>
    </w:p>
    <w:p w14:paraId="35C15BD3">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2.吸引器容量为60-80ml</w:t>
      </w:r>
    </w:p>
    <w:p w14:paraId="5BA50FE1">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3.基本尺寸：</w:t>
      </w:r>
    </w:p>
    <w:p w14:paraId="4064EEE0">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（1）吸引管总长230±10mm管身内径≤3mm管口外径＜6mm；</w:t>
      </w:r>
    </w:p>
    <w:p w14:paraId="711F479D">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（2）吸引管总长233±10mm管身内径≤4mm管口外径＜6mm；</w:t>
      </w:r>
    </w:p>
    <w:p w14:paraId="1F2857B0">
      <w:pPr>
        <w:pStyle w:val="2"/>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（3）吸引管总长234±10mm管身内径≤5mm管口外径＜6mm；</w:t>
      </w:r>
    </w:p>
    <w:p w14:paraId="5533BE98">
      <w:pPr>
        <w:pStyle w:val="2"/>
        <w:ind w:firstLine="480" w:firstLineChars="200"/>
        <w:rPr>
          <w:rFonts w:hint="default" w:ascii="微软雅黑" w:hAnsi="微软雅黑" w:eastAsia="微软雅黑" w:cs="微软雅黑"/>
          <w:kern w:val="2"/>
          <w:sz w:val="24"/>
          <w:szCs w:val="24"/>
          <w:highlight w:val="yellow"/>
          <w:lang w:val="en-US" w:eastAsia="zh-CN" w:bidi="ar-SA"/>
        </w:rPr>
      </w:pPr>
      <w:r>
        <w:rPr>
          <w:rFonts w:hint="eastAsia" w:ascii="微软雅黑" w:hAnsi="微软雅黑" w:eastAsia="微软雅黑" w:cs="微软雅黑"/>
          <w:kern w:val="2"/>
          <w:sz w:val="24"/>
          <w:szCs w:val="24"/>
          <w:highlight w:val="yellow"/>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7794"/>
      <w:bookmarkStart w:id="66" w:name="_Toc15650"/>
      <w:bookmarkStart w:id="67" w:name="_Toc17944"/>
      <w:bookmarkStart w:id="68" w:name="_Toc76373878"/>
      <w:bookmarkStart w:id="69" w:name="_Toc2072"/>
      <w:bookmarkStart w:id="70" w:name="_Toc31843"/>
      <w:bookmarkStart w:id="71" w:name="_Toc24122"/>
      <w:bookmarkStart w:id="72" w:name="_Toc1768"/>
      <w:bookmarkStart w:id="73" w:name="_Toc17524"/>
      <w:bookmarkStart w:id="74" w:name="_Toc4791"/>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76373879"/>
      <w:bookmarkStart w:id="77" w:name="_Toc29836"/>
      <w:bookmarkStart w:id="78" w:name="_Toc14311"/>
      <w:bookmarkStart w:id="79" w:name="_Toc5959"/>
      <w:bookmarkStart w:id="80" w:name="_Toc30551"/>
      <w:bookmarkStart w:id="81" w:name="_Toc22561"/>
      <w:bookmarkStart w:id="82" w:name="_Toc9339"/>
      <w:bookmarkStart w:id="83" w:name="_Toc28942"/>
      <w:bookmarkStart w:id="84" w:name="_Toc16908"/>
      <w:bookmarkStart w:id="85"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20772"/>
      <w:bookmarkStart w:id="87" w:name="_Toc2258"/>
      <w:bookmarkStart w:id="88" w:name="_Toc12384"/>
      <w:bookmarkStart w:id="89" w:name="_Toc27737"/>
      <w:bookmarkStart w:id="90" w:name="_Toc27893"/>
      <w:bookmarkStart w:id="91" w:name="_Toc20263"/>
      <w:bookmarkStart w:id="92" w:name="_Toc76373885"/>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11052"/>
      <w:bookmarkStart w:id="94" w:name="_Toc23699"/>
      <w:bookmarkStart w:id="95" w:name="_Toc76373886"/>
      <w:bookmarkStart w:id="96" w:name="_Toc12712"/>
      <w:bookmarkStart w:id="97" w:name="_Toc28189"/>
      <w:bookmarkStart w:id="98" w:name="_Toc7115"/>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yellow"/>
        </w:rPr>
      </w:pPr>
      <w:r>
        <w:rPr>
          <w:rFonts w:hint="eastAsia" w:ascii="宋体" w:hAnsi="宋体" w:cs="宋体"/>
          <w:color w:val="auto"/>
          <w:kern w:val="0"/>
          <w:sz w:val="24"/>
          <w:szCs w:val="24"/>
          <w:highlight w:val="yellow"/>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yellow"/>
        </w:rPr>
      </w:pPr>
    </w:p>
    <w:p w14:paraId="4D7FB686">
      <w:pPr>
        <w:spacing w:line="400" w:lineRule="exact"/>
        <w:outlineLvl w:val="1"/>
        <w:rPr>
          <w:rFonts w:hint="eastAsia" w:cs="宋体"/>
          <w:b/>
          <w:color w:val="auto"/>
          <w:sz w:val="24"/>
          <w:highlight w:val="yellow"/>
        </w:rPr>
      </w:pPr>
      <w:bookmarkStart w:id="100" w:name="_Toc9147"/>
      <w:bookmarkStart w:id="101" w:name="_Toc13585"/>
      <w:bookmarkStart w:id="102" w:name="_Toc31293"/>
      <w:bookmarkStart w:id="103" w:name="_Toc19809"/>
      <w:bookmarkStart w:id="104" w:name="_Toc26754"/>
      <w:bookmarkStart w:id="105" w:name="_Toc76373887"/>
      <w:bookmarkStart w:id="106" w:name="_Toc5535"/>
      <w:r>
        <w:rPr>
          <w:rFonts w:hint="eastAsia" w:cs="宋体"/>
          <w:b/>
          <w:color w:val="auto"/>
          <w:sz w:val="24"/>
          <w:highlight w:val="yellow"/>
        </w:rPr>
        <w:t>二、</w:t>
      </w:r>
      <w:r>
        <w:rPr>
          <w:rFonts w:hint="eastAsia" w:cs="宋体"/>
          <w:b/>
          <w:color w:val="auto"/>
          <w:sz w:val="24"/>
          <w:highlight w:val="yellow"/>
          <w:lang w:val="en-US" w:eastAsia="zh-CN"/>
        </w:rPr>
        <w:t>遴选</w:t>
      </w:r>
      <w:r>
        <w:rPr>
          <w:rFonts w:hint="eastAsia" w:cs="宋体"/>
          <w:b/>
          <w:color w:val="auto"/>
          <w:sz w:val="24"/>
          <w:highlight w:val="yellow"/>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lang w:val="en-US" w:eastAsia="zh-CN"/>
        </w:rPr>
        <w:t>1</w:t>
      </w:r>
      <w:r>
        <w:rPr>
          <w:rFonts w:hint="eastAsia" w:ascii="宋体" w:hAnsi="宋体" w:cs="宋体"/>
          <w:color w:val="auto"/>
          <w:kern w:val="0"/>
          <w:sz w:val="24"/>
          <w:szCs w:val="24"/>
          <w:highlight w:val="yellow"/>
          <w:lang w:val="en-US" w:eastAsia="zh-CN"/>
        </w:rPr>
        <w:t>.</w:t>
      </w:r>
      <w:r>
        <w:rPr>
          <w:rFonts w:hint="eastAsia" w:ascii="宋体" w:hAnsi="宋体" w:eastAsia="宋体" w:cs="宋体"/>
          <w:color w:val="auto"/>
          <w:kern w:val="0"/>
          <w:sz w:val="24"/>
          <w:szCs w:val="24"/>
          <w:highlight w:val="yellow"/>
        </w:rPr>
        <w:t>按</w:t>
      </w:r>
      <w:r>
        <w:rPr>
          <w:rFonts w:hint="eastAsia" w:ascii="宋体" w:hAnsi="宋体" w:eastAsia="宋体" w:cs="宋体"/>
          <w:color w:val="auto"/>
          <w:kern w:val="0"/>
          <w:sz w:val="24"/>
          <w:szCs w:val="24"/>
          <w:highlight w:val="yellow"/>
          <w:lang w:eastAsia="zh-CN"/>
        </w:rPr>
        <w:t>遴选</w:t>
      </w:r>
      <w:r>
        <w:rPr>
          <w:rFonts w:hint="eastAsia" w:ascii="宋体" w:hAnsi="宋体" w:eastAsia="宋体" w:cs="宋体"/>
          <w:b w:val="0"/>
          <w:bCs w:val="0"/>
          <w:color w:val="auto"/>
          <w:kern w:val="0"/>
          <w:sz w:val="24"/>
          <w:szCs w:val="24"/>
          <w:highlight w:val="yellow"/>
        </w:rPr>
        <w:t>采购文件中规定</w:t>
      </w:r>
      <w:r>
        <w:rPr>
          <w:rFonts w:hint="eastAsia" w:ascii="宋体" w:hAnsi="宋体" w:eastAsia="宋体" w:cs="宋体"/>
          <w:b w:val="0"/>
          <w:bCs w:val="0"/>
          <w:color w:val="auto"/>
          <w:kern w:val="0"/>
          <w:sz w:val="24"/>
          <w:szCs w:val="24"/>
          <w:highlight w:val="yellow"/>
          <w:lang w:eastAsia="zh-CN"/>
        </w:rPr>
        <w:t>，</w:t>
      </w:r>
      <w:r>
        <w:rPr>
          <w:rFonts w:hint="eastAsia" w:ascii="宋体" w:hAnsi="宋体" w:eastAsia="宋体" w:cs="宋体"/>
          <w:b w:val="0"/>
          <w:bCs w:val="0"/>
          <w:color w:val="auto"/>
          <w:kern w:val="0"/>
          <w:sz w:val="24"/>
          <w:szCs w:val="24"/>
          <w:highlight w:val="yellow"/>
        </w:rPr>
        <w:t>对资格审查</w:t>
      </w:r>
      <w:r>
        <w:rPr>
          <w:rFonts w:hint="eastAsia" w:ascii="宋体" w:hAnsi="宋体" w:eastAsia="宋体" w:cs="宋体"/>
          <w:color w:val="auto"/>
          <w:kern w:val="0"/>
          <w:sz w:val="24"/>
          <w:szCs w:val="24"/>
          <w:highlight w:val="yellow"/>
        </w:rPr>
        <w:t>合格的响应文件进行技术评估。提供相同品牌产品且通过资格审查的不同</w:t>
      </w:r>
      <w:r>
        <w:rPr>
          <w:rFonts w:hint="eastAsia" w:ascii="宋体" w:hAnsi="宋体" w:eastAsia="宋体" w:cs="宋体"/>
          <w:color w:val="auto"/>
          <w:kern w:val="0"/>
          <w:sz w:val="24"/>
          <w:szCs w:val="24"/>
          <w:highlight w:val="yellow"/>
          <w:lang w:eastAsia="zh-CN"/>
        </w:rPr>
        <w:t>竞选</w:t>
      </w:r>
      <w:r>
        <w:rPr>
          <w:rFonts w:hint="eastAsia" w:ascii="宋体" w:hAnsi="宋体" w:eastAsia="宋体" w:cs="宋体"/>
          <w:color w:val="auto"/>
          <w:kern w:val="0"/>
          <w:sz w:val="24"/>
          <w:szCs w:val="24"/>
          <w:highlight w:val="yellow"/>
        </w:rPr>
        <w:t>人参加的，按一家</w:t>
      </w:r>
      <w:r>
        <w:rPr>
          <w:rFonts w:hint="eastAsia" w:ascii="宋体" w:hAnsi="宋体" w:eastAsia="宋体" w:cs="宋体"/>
          <w:color w:val="auto"/>
          <w:kern w:val="0"/>
          <w:sz w:val="24"/>
          <w:szCs w:val="24"/>
          <w:highlight w:val="yellow"/>
          <w:lang w:val="en-US" w:eastAsia="zh-CN"/>
        </w:rPr>
        <w:t>竞选</w:t>
      </w:r>
      <w:r>
        <w:rPr>
          <w:rFonts w:hint="eastAsia" w:ascii="宋体" w:hAnsi="宋体" w:eastAsia="宋体" w:cs="宋体"/>
          <w:color w:val="auto"/>
          <w:kern w:val="0"/>
          <w:sz w:val="24"/>
          <w:szCs w:val="24"/>
          <w:highlight w:val="yellow"/>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highlight w:val="yellow"/>
          <w:lang w:val="en-US" w:eastAsia="zh-CN"/>
        </w:rPr>
        <w:t>2</w:t>
      </w:r>
      <w:r>
        <w:rPr>
          <w:rFonts w:hint="eastAsia" w:ascii="宋体" w:hAnsi="宋体" w:cs="宋体"/>
          <w:color w:val="auto"/>
          <w:kern w:val="0"/>
          <w:sz w:val="24"/>
          <w:szCs w:val="24"/>
          <w:highlight w:val="yellow"/>
          <w:lang w:val="en-US" w:eastAsia="zh-CN"/>
        </w:rPr>
        <w:t>.根据不同档次或需求评选能够实现基本要求的供应商</w:t>
      </w:r>
      <w:r>
        <w:rPr>
          <w:rFonts w:hint="eastAsia" w:ascii="宋体" w:hAnsi="宋体" w:eastAsia="宋体" w:cs="宋体"/>
          <w:color w:val="auto"/>
          <w:kern w:val="0"/>
          <w:sz w:val="24"/>
          <w:szCs w:val="24"/>
          <w:highlight w:val="yellow"/>
        </w:rPr>
        <w:t>，</w:t>
      </w:r>
      <w:r>
        <w:rPr>
          <w:rFonts w:hint="eastAsia" w:ascii="宋体" w:hAnsi="宋体" w:cs="宋体"/>
          <w:color w:val="auto"/>
          <w:kern w:val="0"/>
          <w:sz w:val="24"/>
          <w:szCs w:val="24"/>
          <w:highlight w:val="yellow"/>
          <w:lang w:val="en-US" w:eastAsia="zh-CN"/>
        </w:rPr>
        <w:t>按</w:t>
      </w:r>
      <w:r>
        <w:rPr>
          <w:rFonts w:hint="eastAsia" w:ascii="宋体" w:hAnsi="宋体" w:eastAsia="宋体" w:cs="宋体"/>
          <w:color w:val="auto"/>
          <w:kern w:val="0"/>
          <w:sz w:val="24"/>
          <w:szCs w:val="24"/>
          <w:highlight w:val="yellow"/>
          <w:lang w:eastAsia="zh-CN"/>
        </w:rPr>
        <w:t>竞选报价</w:t>
      </w:r>
      <w:r>
        <w:rPr>
          <w:rFonts w:hint="eastAsia" w:ascii="宋体" w:hAnsi="宋体" w:eastAsia="宋体" w:cs="宋体"/>
          <w:color w:val="auto"/>
          <w:kern w:val="0"/>
          <w:sz w:val="24"/>
          <w:szCs w:val="24"/>
          <w:highlight w:val="yellow"/>
        </w:rPr>
        <w:t>由低到高的顺序，</w:t>
      </w:r>
      <w:r>
        <w:rPr>
          <w:rFonts w:hint="eastAsia" w:ascii="宋体" w:hAnsi="宋体" w:cs="宋体"/>
          <w:color w:val="auto"/>
          <w:kern w:val="0"/>
          <w:sz w:val="24"/>
          <w:szCs w:val="24"/>
          <w:highlight w:val="yellow"/>
          <w:lang w:val="en-US" w:eastAsia="zh-CN"/>
        </w:rPr>
        <w:t>遴选出拟中选供应商</w:t>
      </w:r>
      <w:r>
        <w:rPr>
          <w:rFonts w:hint="eastAsia" w:ascii="宋体" w:hAnsi="宋体" w:cs="宋体"/>
          <w:color w:val="auto"/>
          <w:kern w:val="0"/>
          <w:sz w:val="24"/>
          <w:szCs w:val="24"/>
          <w:highlight w:val="yellow"/>
          <w:lang w:eastAsia="zh-CN"/>
        </w:rPr>
        <w:t>。</w:t>
      </w:r>
    </w:p>
    <w:p w14:paraId="2853F9D2">
      <w:pPr>
        <w:snapToGrid w:val="0"/>
        <w:spacing w:line="400" w:lineRule="exact"/>
        <w:ind w:firstLine="480" w:firstLineChars="200"/>
        <w:rPr>
          <w:rFonts w:hint="eastAsia"/>
          <w:color w:val="auto"/>
          <w:sz w:val="24"/>
          <w:szCs w:val="16"/>
          <w:highlight w:val="yellow"/>
          <w:lang w:eastAsia="zh-CN"/>
        </w:rPr>
      </w:pPr>
      <w:r>
        <w:rPr>
          <w:rFonts w:hint="eastAsia" w:ascii="宋体" w:hAnsi="宋体" w:cs="宋体"/>
          <w:color w:val="auto"/>
          <w:kern w:val="0"/>
          <w:sz w:val="24"/>
          <w:szCs w:val="24"/>
          <w:highlight w:val="yellow"/>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yellow"/>
        </w:rPr>
        <w:t>。</w:t>
      </w:r>
    </w:p>
    <w:p w14:paraId="007A3CC1">
      <w:pPr>
        <w:snapToGrid w:val="0"/>
        <w:spacing w:line="400" w:lineRule="exact"/>
        <w:ind w:firstLine="465"/>
        <w:rPr>
          <w:rFonts w:hint="eastAsia" w:ascii="宋体" w:hAnsi="宋体" w:cs="宋体"/>
          <w:color w:val="auto"/>
          <w:sz w:val="24"/>
          <w:szCs w:val="24"/>
          <w:highlight w:val="yellow"/>
        </w:rPr>
      </w:pPr>
      <w:r>
        <w:rPr>
          <w:rFonts w:hint="eastAsia" w:ascii="宋体" w:hAnsi="宋体" w:cs="宋体"/>
          <w:color w:val="auto"/>
          <w:sz w:val="24"/>
          <w:szCs w:val="24"/>
          <w:highlight w:val="yellow"/>
        </w:rPr>
        <w:t>说明：院内采购小组及评审专家认为竞选人的报价明显低于其他通过</w:t>
      </w:r>
      <w:r>
        <w:rPr>
          <w:rFonts w:hint="eastAsia" w:ascii="宋体" w:hAnsi="宋体" w:cs="宋体"/>
          <w:color w:val="auto"/>
          <w:sz w:val="24"/>
          <w:szCs w:val="24"/>
          <w:highlight w:val="yellow"/>
          <w:lang w:val="en-US" w:eastAsia="zh-CN"/>
        </w:rPr>
        <w:t>资格</w:t>
      </w:r>
      <w:r>
        <w:rPr>
          <w:rFonts w:hint="eastAsia" w:ascii="宋体" w:hAnsi="宋体" w:cs="宋体"/>
          <w:color w:val="auto"/>
          <w:sz w:val="24"/>
          <w:szCs w:val="24"/>
          <w:highlight w:val="yellow"/>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yellow"/>
        </w:rPr>
      </w:pPr>
      <w:bookmarkStart w:id="107" w:name="_Toc8546"/>
      <w:bookmarkStart w:id="108" w:name="_Toc5251"/>
      <w:bookmarkStart w:id="109" w:name="_Toc30068"/>
      <w:bookmarkStart w:id="110" w:name="_Toc2900"/>
      <w:bookmarkStart w:id="111" w:name="_Toc76373889"/>
      <w:bookmarkStart w:id="112" w:name="_Toc16925"/>
    </w:p>
    <w:p w14:paraId="007A6614">
      <w:pPr>
        <w:numPr>
          <w:ilvl w:val="0"/>
          <w:numId w:val="0"/>
        </w:numPr>
        <w:spacing w:line="400" w:lineRule="exact"/>
        <w:outlineLvl w:val="1"/>
        <w:rPr>
          <w:rFonts w:hint="eastAsia" w:cs="宋体"/>
          <w:b/>
          <w:color w:val="auto"/>
          <w:sz w:val="24"/>
          <w:highlight w:val="yellow"/>
        </w:rPr>
      </w:pPr>
      <w:bookmarkStart w:id="113" w:name="_Toc13294"/>
      <w:r>
        <w:rPr>
          <w:rFonts w:hint="eastAsia" w:cs="宋体"/>
          <w:b/>
          <w:color w:val="auto"/>
          <w:sz w:val="24"/>
          <w:highlight w:val="yellow"/>
          <w:lang w:eastAsia="zh-CN"/>
        </w:rPr>
        <w:t>三、</w:t>
      </w:r>
      <w:r>
        <w:rPr>
          <w:rFonts w:hint="eastAsia" w:cs="宋体"/>
          <w:b/>
          <w:color w:val="auto"/>
          <w:sz w:val="24"/>
          <w:highlight w:val="yellow"/>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yellow"/>
        </w:rPr>
      </w:pPr>
      <w:bookmarkStart w:id="114" w:name="_Toc28228"/>
      <w:r>
        <w:rPr>
          <w:rFonts w:hint="eastAsia" w:ascii="宋体" w:hAnsi="宋体" w:eastAsia="宋体" w:cs="宋体"/>
          <w:color w:val="auto"/>
          <w:sz w:val="24"/>
          <w:szCs w:val="24"/>
          <w:highlight w:val="yellow"/>
        </w:rPr>
        <w:t>竞选人或其竞选文件出现下列情况之一者，经评审专家组讨论后，可</w:t>
      </w:r>
      <w:r>
        <w:rPr>
          <w:rFonts w:hint="eastAsia" w:ascii="宋体" w:hAnsi="宋体" w:cs="宋体"/>
          <w:color w:val="auto"/>
          <w:sz w:val="24"/>
          <w:szCs w:val="24"/>
          <w:highlight w:val="yellow"/>
          <w:lang w:val="en-US" w:eastAsia="zh-CN"/>
        </w:rPr>
        <w:t>认定为</w:t>
      </w:r>
      <w:r>
        <w:rPr>
          <w:rFonts w:hint="eastAsia" w:ascii="宋体" w:hAnsi="宋体" w:eastAsia="宋体" w:cs="宋体"/>
          <w:color w:val="auto"/>
          <w:sz w:val="24"/>
          <w:szCs w:val="24"/>
          <w:highlight w:val="yellow"/>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cs="宋体"/>
          <w:color w:val="auto"/>
          <w:sz w:val="24"/>
          <w:szCs w:val="24"/>
          <w:highlight w:val="yellow"/>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20034"/>
      <w:bookmarkStart w:id="116" w:name="_Toc11654"/>
      <w:bookmarkStart w:id="117" w:name="_Toc11342"/>
      <w:bookmarkStart w:id="118" w:name="_Toc26071"/>
      <w:bookmarkStart w:id="119" w:name="_Toc27443"/>
      <w:bookmarkStart w:id="120" w:name="_Toc76373890"/>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10864"/>
      <w:bookmarkStart w:id="123" w:name="_Toc76373891"/>
      <w:bookmarkStart w:id="124" w:name="_Toc27646"/>
      <w:bookmarkStart w:id="125" w:name="_Toc20391"/>
      <w:bookmarkStart w:id="126" w:name="_Toc25199"/>
      <w:r>
        <w:rPr>
          <w:rFonts w:hint="eastAsia" w:ascii="宋体" w:hAnsi="宋体" w:cs="宋体"/>
          <w:b/>
          <w:color w:val="auto"/>
          <w:szCs w:val="36"/>
        </w:rPr>
        <w:t xml:space="preserve">第四篇  </w:t>
      </w:r>
      <w:bookmarkStart w:id="127" w:name="_Toc349642178"/>
      <w:bookmarkStart w:id="128" w:name="_Toc258354120"/>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20762"/>
      <w:bookmarkStart w:id="135" w:name="_Toc24088"/>
      <w:bookmarkStart w:id="136" w:name="_Toc2975"/>
      <w:bookmarkStart w:id="137" w:name="_Toc19409"/>
      <w:bookmarkStart w:id="138" w:name="_Toc10152"/>
      <w:bookmarkStart w:id="139" w:name="_Toc76373904"/>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11892"/>
      <w:bookmarkStart w:id="141" w:name="_Toc16112"/>
      <w:bookmarkStart w:id="142" w:name="_Toc76373907"/>
      <w:bookmarkStart w:id="143" w:name="_Toc7750"/>
      <w:bookmarkStart w:id="144" w:name="_Toc11763"/>
      <w:bookmarkStart w:id="145" w:name="_Toc25920"/>
      <w:bookmarkStart w:id="146" w:name="_Toc12863"/>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10063"/>
      <w:bookmarkStart w:id="155" w:name="_Toc22827"/>
      <w:bookmarkStart w:id="156"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9"/>
      <w:bookmarkStart w:id="159" w:name="OLE_LINK6"/>
      <w:bookmarkStart w:id="160" w:name="_Toc27306"/>
      <w:bookmarkStart w:id="161" w:name="_Toc76373909"/>
      <w:bookmarkStart w:id="162" w:name="_Toc21830"/>
      <w:bookmarkStart w:id="163" w:name="_Toc21431"/>
      <w:bookmarkStart w:id="164" w:name="_Toc9795"/>
      <w:bookmarkStart w:id="165" w:name="_Toc493178790"/>
      <w:bookmarkStart w:id="166" w:name="_Toc23879"/>
      <w:bookmarkStart w:id="167" w:name="_Toc28644"/>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20258"/>
      <w:bookmarkStart w:id="177" w:name="_Toc16487"/>
      <w:bookmarkStart w:id="178" w:name="_Toc411"/>
      <w:bookmarkStart w:id="179" w:name="_Toc20875"/>
      <w:bookmarkStart w:id="180" w:name="_Toc493178791"/>
      <w:bookmarkStart w:id="181" w:name="_Toc76373910"/>
      <w:bookmarkStart w:id="182" w:name="_Toc12647"/>
      <w:bookmarkStart w:id="183"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6217"/>
      <w:bookmarkStart w:id="186" w:name="_Toc493178793"/>
      <w:bookmarkStart w:id="187" w:name="_Toc20605"/>
      <w:bookmarkStart w:id="188" w:name="_Toc16151"/>
      <w:bookmarkStart w:id="189" w:name="_Toc76373912"/>
      <w:bookmarkStart w:id="190" w:name="_Toc8925"/>
      <w:bookmarkStart w:id="191" w:name="_Toc492721038"/>
      <w:bookmarkStart w:id="192" w:name="_Toc4250"/>
      <w:bookmarkStart w:id="193" w:name="_Toc19291"/>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EBCB1C1-5C20-47B2-B9A1-68E56C035A68}"/>
  </w:font>
  <w:font w:name="黑体">
    <w:panose1 w:val="02010609060101010101"/>
    <w:charset w:val="86"/>
    <w:family w:val="auto"/>
    <w:pitch w:val="default"/>
    <w:sig w:usb0="800002BF" w:usb1="38CF7CFA" w:usb2="00000016" w:usb3="00000000" w:csb0="00040001" w:csb1="00000000"/>
    <w:embedRegular r:id="rId2" w:fontKey="{8E5EF6B8-60F4-475E-A5CE-26154AF013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41076952-00E8-45C9-BB4F-CFDE6376F1B4}"/>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40BC4C58-ED4B-4942-BCCC-74CC2245EFB5}"/>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697C44B3-DD1B-49BD-A501-0475A6E372BC}"/>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7F218FC5-96D2-4255-B40E-141769DEFAA9}"/>
  </w:font>
  <w:font w:name="方正黑体_GBK">
    <w:panose1 w:val="03000509000000000000"/>
    <w:charset w:val="86"/>
    <w:family w:val="script"/>
    <w:pitch w:val="default"/>
    <w:sig w:usb0="00000001" w:usb1="080E0000" w:usb2="00000000" w:usb3="00000000" w:csb0="00040000" w:csb1="00000000"/>
    <w:embedRegular r:id="rId7" w:fontKey="{9D240177-E4B4-4F0C-B05A-535CF627DE82}"/>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8" w:fontKey="{9F1DE26F-DE65-482D-8C33-3FD6A43B2F29}"/>
  </w:font>
  <w:font w:name="微软雅黑">
    <w:panose1 w:val="020B0503020204020204"/>
    <w:charset w:val="86"/>
    <w:family w:val="swiss"/>
    <w:pitch w:val="default"/>
    <w:sig w:usb0="80000287" w:usb1="2ACF3C50" w:usb2="00000016" w:usb3="00000000" w:csb0="0004001F" w:csb1="00000000"/>
    <w:embedRegular r:id="rId9" w:fontKey="{B71410BA-BCB1-46EE-8AA6-F827D1E4F3C3}"/>
  </w:font>
  <w:font w:name="仿宋">
    <w:panose1 w:val="02010609060101010101"/>
    <w:charset w:val="86"/>
    <w:family w:val="modern"/>
    <w:pitch w:val="default"/>
    <w:sig w:usb0="800002BF" w:usb1="38CF7CFA" w:usb2="00000016" w:usb3="00000000" w:csb0="00040001" w:csb1="00000000"/>
    <w:embedRegular r:id="rId10" w:fontKey="{004AA962-A2EB-4214-9405-763AEC4419EF}"/>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6C32324"/>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B50A7"/>
    <w:rsid w:val="14922675"/>
    <w:rsid w:val="15660628"/>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DF32A9"/>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641D43"/>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5EA3CCD"/>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134555"/>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9A2416"/>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20FB3"/>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352</Words>
  <Characters>363</Characters>
  <Lines>101</Lines>
  <Paragraphs>28</Paragraphs>
  <TotalTime>2</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2026-07-30T07:30:27Z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3BB8800350514F5487D95FFEDB31E441_13</vt:lpwstr>
  </property>
  <property fmtid="{D5CDD505-2E9C-101B-9397-08002B2CF9AE}" pid="4" name="KSOTemplateDocerSaveRecord">
    <vt:lpwstr>eyJoZGlkIjoiMjU2ZTM3ZDFmZjUwMzFiZjYzMmM3NGE2NjI1YTk3YTgiLCJ1c2VySWQiOiI2NzQ3MDY3ODMifQ==</vt:lpwstr>
  </property>
</Properties>
</file>