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0059"/>
      <w:bookmarkStart w:id="2" w:name="_Toc76373863"/>
      <w:bookmarkStart w:id="3" w:name="_Toc31066"/>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22435"/>
      <w:bookmarkStart w:id="8" w:name="_Toc76373864"/>
      <w:bookmarkStart w:id="9" w:name="_Toc28264"/>
      <w:bookmarkStart w:id="10" w:name="_Toc5909"/>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124A7A7B">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眼科青光眼引流阀/管</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18060"/>
            <w:bookmarkStart w:id="16" w:name="_Toc76373865"/>
            <w:bookmarkStart w:id="17" w:name="_Toc5838"/>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0C47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1DC8A773">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57EA6623">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青光眼引流阀/管</w:t>
            </w:r>
          </w:p>
        </w:tc>
        <w:tc>
          <w:tcPr>
            <w:tcW w:w="1485" w:type="dxa"/>
            <w:shd w:val="clear" w:color="auto" w:fill="auto"/>
            <w:noWrap w:val="0"/>
            <w:vAlign w:val="center"/>
          </w:tcPr>
          <w:p w14:paraId="141C4D0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2B211EF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5B2C576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眼科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69A4D6D">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rPr>
      </w:pPr>
      <w:bookmarkStart w:id="19" w:name="_Toc30358"/>
      <w:bookmarkStart w:id="20" w:name="_Toc26504"/>
      <w:bookmarkStart w:id="21" w:name="_Toc10137"/>
      <w:bookmarkStart w:id="22" w:name="_Toc76373866"/>
      <w:bookmarkStart w:id="23" w:name="_Toc25496"/>
      <w:bookmarkStart w:id="24" w:name="_Toc3434"/>
    </w:p>
    <w:p w14:paraId="20FC5D1D">
      <w:pPr>
        <w:widowControl/>
        <w:spacing w:line="400" w:lineRule="exact"/>
        <w:outlineLvl w:val="1"/>
        <w:rPr>
          <w:rFonts w:hint="eastAsia" w:ascii="宋体" w:hAnsi="宋体" w:cs="宋体"/>
          <w:b/>
          <w:color w:val="auto"/>
          <w:sz w:val="24"/>
          <w:highlight w:val="none"/>
        </w:rPr>
      </w:pPr>
      <w:bookmarkStart w:id="25" w:name="_Toc3249"/>
      <w:r>
        <w:rPr>
          <w:rFonts w:hint="eastAsia" w:ascii="宋体" w:hAnsi="宋体" w:cs="宋体"/>
          <w:b/>
          <w:color w:val="auto"/>
          <w:sz w:val="24"/>
          <w:highlight w:val="none"/>
        </w:rPr>
        <w:t>二、</w:t>
      </w:r>
      <w:r>
        <w:rPr>
          <w:rFonts w:hint="eastAsia" w:ascii="宋体" w:hAnsi="宋体" w:cs="宋体"/>
          <w:b/>
          <w:color w:val="auto"/>
          <w:sz w:val="24"/>
          <w:highlight w:val="none"/>
          <w:lang w:val="en-US" w:eastAsia="zh-CN"/>
        </w:rPr>
        <w:t>竞选</w:t>
      </w:r>
      <w:r>
        <w:rPr>
          <w:rFonts w:hint="eastAsia" w:ascii="宋体" w:hAnsi="宋体" w:cs="宋体"/>
          <w:b/>
          <w:color w:val="auto"/>
          <w:sz w:val="24"/>
          <w:highlight w:val="none"/>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lang w:val="en-US" w:eastAsia="zh-CN"/>
        </w:rPr>
        <w:t>竞选</w:t>
      </w:r>
      <w:r>
        <w:rPr>
          <w:rFonts w:hint="eastAsia" w:ascii="宋体" w:hAnsi="宋体" w:cs="宋体"/>
          <w:bCs/>
          <w:color w:val="auto"/>
          <w:sz w:val="24"/>
          <w:highlight w:val="none"/>
        </w:rPr>
        <w:t>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2E60547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6）提供</w:t>
      </w:r>
      <w:r>
        <w:rPr>
          <w:rFonts w:hint="eastAsia" w:ascii="宋体" w:hAnsi="宋体" w:cs="宋体"/>
          <w:color w:val="auto"/>
          <w:sz w:val="24"/>
          <w:szCs w:val="24"/>
          <w:highlight w:val="none"/>
        </w:rPr>
        <w:t>《医药价格和招采信用评级等级承诺书》</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）法律、行政法规规定的其他条件</w:t>
      </w:r>
      <w:r>
        <w:rPr>
          <w:rFonts w:hint="eastAsia" w:ascii="宋体" w:hAnsi="宋体" w:cs="宋体"/>
          <w:color w:val="auto"/>
          <w:sz w:val="24"/>
          <w:szCs w:val="24"/>
          <w:highlight w:val="none"/>
          <w:lang w:eastAsia="zh-CN"/>
        </w:rPr>
        <w:t>。</w:t>
      </w:r>
    </w:p>
    <w:p w14:paraId="240D182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476C4E5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Cs/>
          <w:color w:val="auto"/>
          <w:sz w:val="24"/>
          <w:highlight w:val="none"/>
        </w:rPr>
        <w:t>竞选</w:t>
      </w:r>
      <w:r>
        <w:rPr>
          <w:rFonts w:hint="eastAsia" w:ascii="宋体" w:hAnsi="宋体" w:cs="宋体"/>
          <w:color w:val="auto"/>
          <w:sz w:val="24"/>
          <w:szCs w:val="24"/>
          <w:highlight w:val="none"/>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bCs/>
          <w:color w:val="auto"/>
          <w:sz w:val="24"/>
          <w:highlight w:val="none"/>
        </w:rPr>
        <w:t>竞选</w:t>
      </w:r>
      <w:r>
        <w:rPr>
          <w:rFonts w:hint="eastAsia" w:ascii="宋体" w:hAnsi="宋体" w:cs="宋体"/>
          <w:color w:val="auto"/>
          <w:sz w:val="24"/>
          <w:szCs w:val="24"/>
          <w:highlight w:val="none"/>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none"/>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（5）竞选单位法定代表人签发的授权委托书（须明确授权范围）及身份证明（加盖公章的复印件）。</w:t>
      </w:r>
    </w:p>
    <w:p w14:paraId="21F12D51">
      <w:pPr>
        <w:pStyle w:val="2"/>
        <w:rPr>
          <w:rFonts w:hint="eastAsia"/>
          <w:highlight w:val="none"/>
          <w:lang w:eastAsia="zh-CN"/>
        </w:rPr>
      </w:pPr>
    </w:p>
    <w:p w14:paraId="6B99929D">
      <w:pPr>
        <w:keepNext/>
        <w:overflowPunct w:val="0"/>
        <w:spacing w:line="400" w:lineRule="exact"/>
        <w:outlineLvl w:val="1"/>
        <w:rPr>
          <w:rFonts w:ascii="宋体" w:hAnsi="宋体" w:cs="宋体"/>
          <w:b/>
          <w:color w:val="auto"/>
          <w:sz w:val="24"/>
          <w:highlight w:val="none"/>
        </w:rPr>
      </w:pPr>
      <w:bookmarkStart w:id="26" w:name="_Toc2529"/>
      <w:bookmarkStart w:id="27" w:name="_Toc7015"/>
      <w:r>
        <w:rPr>
          <w:rFonts w:hint="eastAsia" w:ascii="宋体" w:hAnsi="宋体" w:cs="宋体"/>
          <w:b/>
          <w:color w:val="auto"/>
          <w:sz w:val="24"/>
          <w:highlight w:val="none"/>
        </w:rPr>
        <w:t>三、竞选有关规定</w:t>
      </w:r>
      <w:bookmarkEnd w:id="26"/>
      <w:r>
        <w:rPr>
          <w:rFonts w:hint="eastAsia" w:ascii="宋体" w:hAnsi="宋体" w:cs="宋体"/>
          <w:b/>
          <w:color w:val="auto"/>
          <w:sz w:val="24"/>
          <w:highlight w:val="none"/>
        </w:rPr>
        <w:t>及说明</w:t>
      </w:r>
      <w:bookmarkEnd w:id="27"/>
    </w:p>
    <w:p w14:paraId="77D38A42">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none"/>
          <w:lang w:val="en-US" w:eastAsia="zh-CN"/>
        </w:rPr>
        <w:t>同一合同项</w:t>
      </w:r>
      <w:r>
        <w:rPr>
          <w:rFonts w:hint="eastAsia" w:ascii="宋体" w:hAnsi="宋体" w:cs="宋体"/>
          <w:color w:val="auto"/>
          <w:sz w:val="24"/>
          <w:szCs w:val="24"/>
          <w:highlight w:val="none"/>
        </w:rPr>
        <w:t>（分包）</w:t>
      </w:r>
      <w:r>
        <w:rPr>
          <w:rFonts w:hint="eastAsia" w:ascii="宋体" w:hAnsi="宋体" w:cs="宋体"/>
          <w:color w:val="auto"/>
          <w:sz w:val="24"/>
          <w:szCs w:val="24"/>
          <w:highlight w:val="none"/>
          <w:lang w:val="en-US" w:eastAsia="zh-CN"/>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28099"/>
      <w:bookmarkStart w:id="31" w:name="_Toc18799"/>
      <w:bookmarkStart w:id="32" w:name="_Toc7527"/>
      <w:bookmarkStart w:id="33" w:name="_Toc654"/>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2026年8月3日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眼科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眼科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眼科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眼科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2026年8月5-7日（具体时间邮箱或电话另行通知）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25272"/>
      <w:bookmarkStart w:id="43" w:name="_Toc9714"/>
      <w:bookmarkStart w:id="44" w:name="_Toc14224"/>
      <w:bookmarkStart w:id="45" w:name="_Toc4033"/>
      <w:bookmarkStart w:id="46" w:name="_Toc76373872"/>
      <w:bookmarkStart w:id="47" w:name="_Toc20138"/>
      <w:bookmarkStart w:id="48" w:name="_Toc21905"/>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3153"/>
      <w:bookmarkStart w:id="51" w:name="_Toc13391"/>
      <w:bookmarkStart w:id="52" w:name="_Toc2599"/>
      <w:bookmarkStart w:id="53" w:name="_Toc11474"/>
      <w:bookmarkStart w:id="54" w:name="_Toc76373874"/>
      <w:bookmarkStart w:id="55" w:name="_Toc25148"/>
      <w:bookmarkStart w:id="56" w:name="_Toc27187"/>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620"/>
      <w:bookmarkStart w:id="58" w:name="_Toc76373876"/>
      <w:bookmarkStart w:id="59" w:name="_Toc29225"/>
      <w:bookmarkStart w:id="60" w:name="_Toc6355"/>
      <w:bookmarkStart w:id="61" w:name="_Toc30465"/>
      <w:bookmarkStart w:id="62" w:name="_Toc13107"/>
      <w:bookmarkStart w:id="63" w:name="_Toc1955"/>
    </w:p>
    <w:p w14:paraId="617D8240">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1青光眼引流阀/管</w:t>
      </w:r>
    </w:p>
    <w:p w14:paraId="155F7EB1">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1、灭菌方式：环氧乙烷灭菌，无菌无热原</w:t>
      </w:r>
    </w:p>
    <w:p w14:paraId="166F4071">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2、合规属性：符合眼科植入医疗器械生物安全、无菌、相容性相关国家标准，可用于人体眼内植入手术</w:t>
      </w:r>
    </w:p>
    <w:p w14:paraId="55A6E6CA">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3、核心引流主体材质：医用级生物相容材质，无致敏、无腐蚀、无异物反应，植入后组织贴合性良好</w:t>
      </w:r>
    </w:p>
    <w:p w14:paraId="6B7443B4">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4、整体为一体化集成结构，结构精简，适配眼内微小切口植入，术中操作便捷。</w:t>
      </w:r>
    </w:p>
    <w:p w14:paraId="655D856E">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5、具备精准房水限流功能，可生理性疏导房水，有效控制术后眼压，规避低眼压、浅前房等并发症</w:t>
      </w:r>
    </w:p>
    <w:p w14:paraId="043AC477">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6、适用于药物、常规手术控制不佳的原发性开角型青光眼、难治性青光眼、继发性青光眼等</w:t>
      </w:r>
    </w:p>
    <w:p w14:paraId="5533BE98">
      <w:pPr>
        <w:pStyle w:val="2"/>
        <w:ind w:firstLine="480" w:firstLineChars="200"/>
        <w:rPr>
          <w:rFonts w:hint="default" w:ascii="微软雅黑" w:hAnsi="微软雅黑" w:eastAsia="微软雅黑" w:cs="微软雅黑"/>
          <w:kern w:val="2"/>
          <w:sz w:val="24"/>
          <w:szCs w:val="24"/>
          <w:highlight w:val="yellow"/>
          <w:lang w:val="en-US" w:eastAsia="zh-CN" w:bidi="ar-SA"/>
        </w:rPr>
      </w:pPr>
      <w:bookmarkStart w:id="195" w:name="_GoBack"/>
      <w:bookmarkEnd w:id="195"/>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7944"/>
      <w:bookmarkStart w:id="66" w:name="_Toc31843"/>
      <w:bookmarkStart w:id="67" w:name="_Toc2072"/>
      <w:bookmarkStart w:id="68" w:name="_Toc4791"/>
      <w:bookmarkStart w:id="69" w:name="_Toc76373878"/>
      <w:bookmarkStart w:id="70" w:name="_Toc7794"/>
      <w:bookmarkStart w:id="71" w:name="_Toc17524"/>
      <w:bookmarkStart w:id="72" w:name="_Toc24122"/>
      <w:bookmarkStart w:id="73" w:name="_Toc1768"/>
      <w:bookmarkStart w:id="74" w:name="_Toc15650"/>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14311"/>
      <w:bookmarkStart w:id="77" w:name="_Toc29836"/>
      <w:bookmarkStart w:id="78" w:name="_Toc22561"/>
      <w:bookmarkStart w:id="79" w:name="_Toc5959"/>
      <w:bookmarkStart w:id="80" w:name="_Toc30551"/>
      <w:bookmarkStart w:id="81" w:name="_Toc9339"/>
      <w:bookmarkStart w:id="82" w:name="_Toc76373879"/>
      <w:bookmarkStart w:id="83" w:name="_Toc28942"/>
      <w:bookmarkStart w:id="84" w:name="_Toc13528"/>
      <w:bookmarkStart w:id="85"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76373885"/>
      <w:bookmarkStart w:id="87" w:name="_Toc12384"/>
      <w:bookmarkStart w:id="88" w:name="_Toc2258"/>
      <w:bookmarkStart w:id="89" w:name="_Toc27737"/>
      <w:bookmarkStart w:id="90" w:name="_Toc20263"/>
      <w:bookmarkStart w:id="91" w:name="_Toc27893"/>
      <w:bookmarkStart w:id="92" w:name="_Toc20772"/>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3699"/>
      <w:bookmarkStart w:id="94" w:name="_Toc76373886"/>
      <w:bookmarkStart w:id="95" w:name="_Toc28189"/>
      <w:bookmarkStart w:id="96" w:name="_Toc7115"/>
      <w:bookmarkStart w:id="97" w:name="_Toc11052"/>
      <w:bookmarkStart w:id="98" w:name="_Toc12712"/>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yellow"/>
        </w:rPr>
      </w:pPr>
    </w:p>
    <w:p w14:paraId="4D7FB686">
      <w:pPr>
        <w:spacing w:line="400" w:lineRule="exact"/>
        <w:outlineLvl w:val="1"/>
        <w:rPr>
          <w:rFonts w:hint="eastAsia" w:cs="宋体"/>
          <w:b/>
          <w:color w:val="auto"/>
          <w:sz w:val="24"/>
          <w:highlight w:val="yellow"/>
        </w:rPr>
      </w:pPr>
      <w:bookmarkStart w:id="100" w:name="_Toc26754"/>
      <w:bookmarkStart w:id="101" w:name="_Toc9147"/>
      <w:bookmarkStart w:id="102" w:name="_Toc31293"/>
      <w:bookmarkStart w:id="103" w:name="_Toc5535"/>
      <w:bookmarkStart w:id="104" w:name="_Toc13585"/>
      <w:bookmarkStart w:id="105" w:name="_Toc19809"/>
      <w:bookmarkStart w:id="106" w:name="_Toc76373887"/>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5251"/>
      <w:bookmarkStart w:id="108" w:name="_Toc16925"/>
      <w:bookmarkStart w:id="109" w:name="_Toc30068"/>
      <w:bookmarkStart w:id="110" w:name="_Toc8546"/>
      <w:bookmarkStart w:id="111" w:name="_Toc2900"/>
      <w:bookmarkStart w:id="112" w:name="_Toc76373889"/>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7443"/>
      <w:bookmarkStart w:id="116" w:name="_Toc11342"/>
      <w:bookmarkStart w:id="117" w:name="_Toc76373890"/>
      <w:bookmarkStart w:id="118" w:name="_Toc11654"/>
      <w:bookmarkStart w:id="119" w:name="_Toc20034"/>
      <w:bookmarkStart w:id="120" w:name="_Toc26071"/>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10864"/>
      <w:bookmarkStart w:id="123" w:name="_Toc20391"/>
      <w:bookmarkStart w:id="124" w:name="_Toc25199"/>
      <w:bookmarkStart w:id="125" w:name="_Toc27646"/>
      <w:bookmarkStart w:id="126" w:name="_Toc76373891"/>
      <w:r>
        <w:rPr>
          <w:rFonts w:hint="eastAsia" w:ascii="宋体" w:hAnsi="宋体" w:cs="宋体"/>
          <w:b/>
          <w:color w:val="auto"/>
          <w:szCs w:val="36"/>
        </w:rPr>
        <w:t xml:space="preserve">第四篇  </w:t>
      </w:r>
      <w:bookmarkStart w:id="127" w:name="_Toc258354120"/>
      <w:bookmarkStart w:id="128" w:name="_Toc349642178"/>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20762"/>
      <w:bookmarkStart w:id="135" w:name="_Toc2975"/>
      <w:bookmarkStart w:id="136" w:name="_Toc10152"/>
      <w:bookmarkStart w:id="137" w:name="_Toc24088"/>
      <w:bookmarkStart w:id="138" w:name="_Toc19409"/>
      <w:bookmarkStart w:id="139" w:name="_Toc76373904"/>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11892"/>
      <w:bookmarkStart w:id="141" w:name="_Toc76373907"/>
      <w:bookmarkStart w:id="142" w:name="_Toc25920"/>
      <w:bookmarkStart w:id="143" w:name="_Toc7750"/>
      <w:bookmarkStart w:id="144" w:name="_Toc11763"/>
      <w:bookmarkStart w:id="145" w:name="_Toc12863"/>
      <w:bookmarkStart w:id="146" w:name="_Toc16112"/>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3094"/>
      <w:bookmarkStart w:id="155" w:name="_Toc22827"/>
      <w:bookmarkStart w:id="156"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21431"/>
      <w:bookmarkStart w:id="161" w:name="_Toc9795"/>
      <w:bookmarkStart w:id="162" w:name="_Toc493178790"/>
      <w:bookmarkStart w:id="163" w:name="_Toc76373909"/>
      <w:bookmarkStart w:id="164" w:name="_Toc27306"/>
      <w:bookmarkStart w:id="165" w:name="_Toc21830"/>
      <w:bookmarkStart w:id="166" w:name="_Toc23879"/>
      <w:bookmarkStart w:id="167" w:name="_Toc28644"/>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11"/>
      <w:bookmarkStart w:id="177" w:name="_Toc20875"/>
      <w:bookmarkStart w:id="178" w:name="_Toc492721039"/>
      <w:bookmarkStart w:id="179" w:name="_Toc76373910"/>
      <w:bookmarkStart w:id="180" w:name="_Toc16487"/>
      <w:bookmarkStart w:id="181" w:name="_Toc12647"/>
      <w:bookmarkStart w:id="182" w:name="_Toc493178791"/>
      <w:bookmarkStart w:id="183"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19291"/>
      <w:bookmarkStart w:id="186" w:name="_Toc20605"/>
      <w:bookmarkStart w:id="187" w:name="_Toc8925"/>
      <w:bookmarkStart w:id="188" w:name="_Toc16151"/>
      <w:bookmarkStart w:id="189" w:name="_Toc492721038"/>
      <w:bookmarkStart w:id="190" w:name="_Toc4250"/>
      <w:bookmarkStart w:id="191" w:name="_Toc493178793"/>
      <w:bookmarkStart w:id="192" w:name="_Toc6217"/>
      <w:bookmarkStart w:id="193" w:name="_Toc76373912"/>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1A4E852-20ED-4C01-BC43-7B09A2EA6EDC}"/>
  </w:font>
  <w:font w:name="黑体">
    <w:panose1 w:val="02010609060101010101"/>
    <w:charset w:val="86"/>
    <w:family w:val="auto"/>
    <w:pitch w:val="default"/>
    <w:sig w:usb0="800002BF" w:usb1="38CF7CFA" w:usb2="00000016" w:usb3="00000000" w:csb0="00040001" w:csb1="00000000"/>
    <w:embedRegular r:id="rId2" w:fontKey="{FADDA901-F060-4FB8-940E-48EC1A8484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6CB7AC5F-93EF-4834-94F6-074DA2984F42}"/>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42A7C6DC-0E66-4F53-B00F-0709DE74BDBA}"/>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BE830F5F-8ECC-42A3-A37B-52929E048D75}"/>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F6CD9963-6531-4B78-AB6E-4C095AE8886B}"/>
  </w:font>
  <w:font w:name="方正黑体_GBK">
    <w:panose1 w:val="03000509000000000000"/>
    <w:charset w:val="86"/>
    <w:family w:val="script"/>
    <w:pitch w:val="default"/>
    <w:sig w:usb0="00000001" w:usb1="080E0000" w:usb2="00000000" w:usb3="00000000" w:csb0="00040000" w:csb1="00000000"/>
    <w:embedRegular r:id="rId7" w:fontKey="{EC9A71B6-17A4-49F1-886D-1789B1BAF112}"/>
  </w:font>
  <w:font w:name="方正小标宋_GBK">
    <w:panose1 w:val="03000509000000000000"/>
    <w:charset w:val="86"/>
    <w:family w:val="script"/>
    <w:pitch w:val="default"/>
    <w:sig w:usb0="00000001" w:usb1="080E0000" w:usb2="00000000" w:usb3="00000000" w:csb0="00040000" w:csb1="00000000"/>
    <w:embedRegular r:id="rId8" w:fontKey="{1EF87224-2A26-4684-9E93-DFB3322E6A39}"/>
  </w:font>
  <w:font w:name="微软雅黑">
    <w:panose1 w:val="020B0503020204020204"/>
    <w:charset w:val="86"/>
    <w:family w:val="swiss"/>
    <w:pitch w:val="default"/>
    <w:sig w:usb0="80000287" w:usb1="2ACF3C50" w:usb2="00000016" w:usb3="00000000" w:csb0="0004001F" w:csb1="00000000"/>
    <w:embedRegular r:id="rId9" w:fontKey="{89A1B2D4-C955-430E-8495-E0B42C82D747}"/>
  </w:font>
  <w:font w:name="仿宋">
    <w:panose1 w:val="02010609060101010101"/>
    <w:charset w:val="86"/>
    <w:family w:val="modern"/>
    <w:pitch w:val="default"/>
    <w:sig w:usb0="800002BF" w:usb1="38CF7CFA" w:usb2="00000016" w:usb3="00000000" w:csb0="00040001" w:csb1="00000000"/>
    <w:embedRegular r:id="rId10" w:fontKey="{C32E8B8B-BF14-4636-9345-3B540D2A3E0A}"/>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6463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BE5B17"/>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4050A"/>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853221"/>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523</Words>
  <Characters>536</Characters>
  <Lines>101</Lines>
  <Paragraphs>28</Paragraphs>
  <TotalTime>2</TotalTime>
  <ScaleCrop>false</ScaleCrop>
  <LinksUpToDate>false</LinksUpToDate>
  <CharactersWithSpaces>625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2026-07-30T08:08:05Z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