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31066"/>
      <w:bookmarkStart w:id="1" w:name="_Toc76373863"/>
      <w:bookmarkStart w:id="2" w:name="_Toc10059"/>
      <w:bookmarkStart w:id="3" w:name="_Toc1304"/>
      <w:bookmarkStart w:id="4" w:name="_Toc13868"/>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8264"/>
      <w:bookmarkStart w:id="8" w:name="_Toc76373864"/>
      <w:bookmarkStart w:id="9" w:name="_Toc15376"/>
      <w:bookmarkStart w:id="10" w:name="_Toc5909"/>
      <w:bookmarkStart w:id="11" w:name="_Toc22435"/>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2239EB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项目名称：高效液相色谱检测平台用耗材一批、放射性药物标记前体</w:t>
      </w:r>
    </w:p>
    <w:p w14:paraId="5DBFDCF7">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129"/>
            <w:bookmarkStart w:id="15" w:name="_Toc22707"/>
            <w:bookmarkStart w:id="16" w:name="_Toc18060"/>
            <w:bookmarkStart w:id="17" w:name="_Toc5838"/>
            <w:bookmarkStart w:id="18" w:name="_Toc76373865"/>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63087F06">
            <w:pPr>
              <w:keepNext w:val="0"/>
              <w:keepLines w:val="0"/>
              <w:widowControl/>
              <w:suppressLineNumbers w:val="0"/>
              <w:jc w:val="center"/>
              <w:textAlignment w:val="center"/>
              <w:rPr>
                <w:rFonts w:hint="default" w:ascii="宋体" w:hAnsi="宋体" w:eastAsia="宋体" w:cs="宋体"/>
                <w:color w:val="auto"/>
                <w:sz w:val="24"/>
                <w:szCs w:val="24"/>
                <w:lang w:val="en-US" w:eastAsia="zh-CN"/>
              </w:rPr>
            </w:pPr>
            <w:r>
              <w:rPr>
                <w:rFonts w:hint="eastAsia" w:ascii="宋体" w:hAnsi="宋体" w:cs="宋体"/>
                <w:color w:val="auto"/>
                <w:sz w:val="24"/>
                <w:szCs w:val="24"/>
              </w:rPr>
              <w:t>高效液相色谱检测平台用耗材一批</w:t>
            </w:r>
          </w:p>
        </w:tc>
        <w:tc>
          <w:tcPr>
            <w:tcW w:w="1485" w:type="dxa"/>
            <w:shd w:val="clear" w:color="auto" w:fill="auto"/>
            <w:noWrap w:val="0"/>
            <w:vAlign w:val="center"/>
          </w:tcPr>
          <w:p w14:paraId="4FB0110B">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按需采购</w:t>
            </w:r>
          </w:p>
        </w:tc>
        <w:tc>
          <w:tcPr>
            <w:tcW w:w="1594" w:type="dxa"/>
            <w:noWrap w:val="0"/>
            <w:vAlign w:val="center"/>
          </w:tcPr>
          <w:p w14:paraId="7BC9AA71">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w:t>
            </w:r>
          </w:p>
        </w:tc>
        <w:tc>
          <w:tcPr>
            <w:tcW w:w="1594" w:type="dxa"/>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color w:val="auto"/>
                <w:sz w:val="24"/>
                <w:szCs w:val="24"/>
                <w:lang w:val="en-US" w:eastAsia="zh-CN"/>
              </w:rPr>
              <w:t>核医学科</w:t>
            </w:r>
          </w:p>
        </w:tc>
      </w:tr>
      <w:tr w14:paraId="4FD4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9B9E2DF">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包二</w:t>
            </w:r>
          </w:p>
        </w:tc>
        <w:tc>
          <w:tcPr>
            <w:tcW w:w="2298" w:type="dxa"/>
            <w:shd w:val="clear" w:color="auto" w:fill="auto"/>
            <w:noWrap w:val="0"/>
            <w:vAlign w:val="center"/>
          </w:tcPr>
          <w:p w14:paraId="7A21F2C6">
            <w:pPr>
              <w:keepNext w:val="0"/>
              <w:keepLines w:val="0"/>
              <w:widowControl/>
              <w:suppressLineNumbers w:val="0"/>
              <w:jc w:val="center"/>
              <w:textAlignment w:val="center"/>
              <w:rPr>
                <w:rFonts w:hint="eastAsia" w:ascii="宋体" w:hAnsi="宋体" w:cs="宋体"/>
                <w:color w:val="auto"/>
                <w:sz w:val="24"/>
                <w:szCs w:val="24"/>
              </w:rPr>
            </w:pPr>
            <w:r>
              <w:rPr>
                <w:rFonts w:hint="eastAsia" w:ascii="宋体" w:hAnsi="宋体" w:cs="宋体"/>
                <w:color w:val="auto"/>
                <w:sz w:val="24"/>
                <w:szCs w:val="24"/>
              </w:rPr>
              <w:t>放射性药物标记前体</w:t>
            </w:r>
          </w:p>
        </w:tc>
        <w:tc>
          <w:tcPr>
            <w:tcW w:w="1485" w:type="dxa"/>
            <w:shd w:val="clear" w:color="auto" w:fill="auto"/>
            <w:noWrap w:val="0"/>
            <w:vAlign w:val="center"/>
          </w:tcPr>
          <w:p w14:paraId="62886D7D">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按需采购</w:t>
            </w:r>
          </w:p>
        </w:tc>
        <w:tc>
          <w:tcPr>
            <w:tcW w:w="1594" w:type="dxa"/>
            <w:noWrap w:val="0"/>
            <w:vAlign w:val="center"/>
          </w:tcPr>
          <w:p w14:paraId="57226443">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w:t>
            </w:r>
          </w:p>
        </w:tc>
        <w:tc>
          <w:tcPr>
            <w:tcW w:w="1594" w:type="dxa"/>
            <w:noWrap w:val="0"/>
            <w:vAlign w:val="center"/>
          </w:tcPr>
          <w:p w14:paraId="3F8CE096">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color w:val="auto"/>
                <w:sz w:val="24"/>
                <w:szCs w:val="24"/>
                <w:lang w:val="en-US" w:eastAsia="zh-CN"/>
              </w:rPr>
              <w:t>核医学科</w:t>
            </w: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A22AB3A">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0A4C3E50">
      <w:pPr>
        <w:pStyle w:val="2"/>
        <w:ind w:firstLine="480" w:firstLineChars="200"/>
        <w:rPr>
          <w:rFonts w:hint="eastAsia" w:ascii="宋体" w:hAnsi="宋体" w:eastAsia="宋体" w:cs="宋体"/>
          <w:i w:val="0"/>
          <w:color w:val="auto"/>
          <w:kern w:val="2"/>
          <w:sz w:val="24"/>
          <w:szCs w:val="24"/>
          <w:lang w:val="en-US" w:eastAsia="zh-CN" w:bidi="ar-SA"/>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p w14:paraId="02E24AA9">
      <w:pPr>
        <w:pStyle w:val="2"/>
        <w:ind w:firstLine="480" w:firstLineChars="200"/>
        <w:rPr>
          <w:rFonts w:hint="default" w:ascii="宋体" w:hAnsi="宋体" w:eastAsia="宋体" w:cs="宋体"/>
          <w:i w:val="0"/>
          <w:color w:val="auto"/>
          <w:kern w:val="2"/>
          <w:sz w:val="24"/>
          <w:szCs w:val="24"/>
          <w:lang w:val="en-US" w:eastAsia="zh-CN" w:bidi="ar-SA"/>
        </w:rPr>
      </w:pPr>
      <w:r>
        <w:rPr>
          <w:rFonts w:hint="eastAsia" w:ascii="宋体" w:hAnsi="宋体" w:eastAsia="宋体" w:cs="宋体"/>
          <w:i w:val="0"/>
          <w:color w:val="auto"/>
          <w:kern w:val="2"/>
          <w:sz w:val="24"/>
          <w:szCs w:val="24"/>
          <w:lang w:val="en-US" w:eastAsia="zh-CN" w:bidi="ar-SA"/>
        </w:rPr>
        <w:t>5.本项目为院内过期合同重新比选。</w:t>
      </w:r>
    </w:p>
    <w:bookmarkEnd w:id="14"/>
    <w:bookmarkEnd w:id="15"/>
    <w:bookmarkEnd w:id="16"/>
    <w:bookmarkEnd w:id="17"/>
    <w:bookmarkEnd w:id="18"/>
    <w:p w14:paraId="67FFECAF">
      <w:pPr>
        <w:pStyle w:val="2"/>
        <w:rPr>
          <w:rFonts w:hint="eastAsia"/>
          <w:color w:val="auto"/>
        </w:rPr>
      </w:pPr>
      <w:bookmarkStart w:id="19" w:name="_Toc76373866"/>
      <w:bookmarkStart w:id="20" w:name="_Toc10137"/>
      <w:bookmarkStart w:id="21" w:name="_Toc3434"/>
      <w:bookmarkStart w:id="22" w:name="_Toc26504"/>
      <w:bookmarkStart w:id="23" w:name="_Toc30358"/>
      <w:bookmarkStart w:id="24" w:name="_Toc2549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0112E669">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560008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1B90BED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4FDFB2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68A15C7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58285B8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26B41A2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6949B9C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3DD62BE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228D9161">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DF6004C">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76668EFA">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B2F803">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74E2733E">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197970D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0F1BE41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7D0821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3D3FC69C">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8179A0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BB4DA5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7C5100C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516326B">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07933573">
      <w:pPr>
        <w:widowControl/>
        <w:spacing w:line="400" w:lineRule="exact"/>
        <w:outlineLvl w:val="1"/>
        <w:rPr>
          <w:rFonts w:hint="eastAsia" w:ascii="宋体" w:hAnsi="宋体" w:cs="宋体"/>
          <w:b/>
          <w:bCs/>
          <w:color w:val="auto"/>
          <w:sz w:val="24"/>
          <w:szCs w:val="24"/>
        </w:rPr>
      </w:pPr>
      <w:bookmarkStart w:id="28" w:name="_Toc6749"/>
      <w:bookmarkStart w:id="29" w:name="_Toc17341"/>
      <w:bookmarkStart w:id="30" w:name="_Toc28099"/>
      <w:bookmarkStart w:id="31" w:name="_Toc18799"/>
      <w:bookmarkStart w:id="32" w:name="_Toc654"/>
      <w:bookmarkStart w:id="33" w:name="_Toc7527"/>
      <w:r>
        <w:rPr>
          <w:rFonts w:hint="eastAsia" w:ascii="宋体" w:hAnsi="宋体" w:cs="宋体"/>
          <w:b/>
          <w:bCs/>
          <w:color w:val="auto"/>
          <w:sz w:val="24"/>
          <w:szCs w:val="24"/>
        </w:rPr>
        <w:t>四、报名时间、地点、方式</w:t>
      </w:r>
      <w:bookmarkEnd w:id="28"/>
      <w:bookmarkEnd w:id="29"/>
    </w:p>
    <w:p w14:paraId="2A83625A">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6E9F68F9">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3946367709@qq.com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核医学科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核医学科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48A0FD28">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w:t>
      </w:r>
      <w:r>
        <w:rPr>
          <w:rFonts w:hint="default" w:ascii="Times New Roman" w:hAnsi="Times New Roman" w:cs="Times New Roman"/>
          <w:color w:val="auto"/>
          <w:kern w:val="0"/>
          <w:sz w:val="24"/>
          <w:szCs w:val="24"/>
          <w:u w:val="single"/>
          <w:lang w:val="en-US" w:eastAsia="zh-CN"/>
        </w:rPr>
        <w:t>为“</w:t>
      </w:r>
      <w:r>
        <w:rPr>
          <w:rFonts w:hint="eastAsia" w:ascii="Times New Roman" w:hAnsi="Times New Roman" w:cs="Times New Roman"/>
          <w:color w:val="auto"/>
          <w:kern w:val="0"/>
          <w:sz w:val="24"/>
          <w:szCs w:val="24"/>
          <w:u w:val="single"/>
          <w:lang w:val="en-US" w:eastAsia="zh-CN"/>
        </w:rPr>
        <w:t>核医学科包X</w:t>
      </w:r>
      <w:r>
        <w:rPr>
          <w:rFonts w:hint="default" w:ascii="Times New Roman" w:hAnsi="Times New Roman" w:cs="Times New Roman"/>
          <w:color w:val="auto"/>
          <w:kern w:val="0"/>
          <w:sz w:val="24"/>
          <w:szCs w:val="24"/>
          <w:u w:val="single"/>
          <w:lang w:val="en-US" w:eastAsia="zh-CN"/>
        </w:rPr>
        <w:t>项目报名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03F602C4">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Times New Roman" w:hAnsi="Times New Roman" w:cs="Times New Roman"/>
          <w:color w:val="auto"/>
          <w:kern w:val="0"/>
          <w:sz w:val="24"/>
          <w:szCs w:val="24"/>
          <w:u w:val="single"/>
          <w:lang w:val="en-US" w:eastAsia="zh-CN"/>
        </w:rPr>
        <w:t>核医学科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A20BE9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8BE207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65597D3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4DA7D3D1">
      <w:pPr>
        <w:widowControl/>
        <w:spacing w:line="400" w:lineRule="exact"/>
        <w:outlineLvl w:val="1"/>
        <w:rPr>
          <w:rFonts w:hint="eastAsia" w:ascii="宋体" w:hAnsi="宋体" w:cs="宋体"/>
          <w:b/>
          <w:color w:val="auto"/>
          <w:sz w:val="24"/>
        </w:rPr>
      </w:pPr>
      <w:bookmarkStart w:id="39" w:name="_Toc768"/>
      <w:bookmarkStart w:id="40" w:name="_Toc18950"/>
      <w:r>
        <w:rPr>
          <w:rFonts w:hint="eastAsia" w:ascii="宋体" w:hAnsi="宋体" w:cs="宋体"/>
          <w:b/>
          <w:color w:val="auto"/>
          <w:sz w:val="24"/>
        </w:rPr>
        <w:t>五、竞选文件递交与采购谈判时间、地点</w:t>
      </w:r>
      <w:bookmarkEnd w:id="39"/>
      <w:bookmarkEnd w:id="40"/>
    </w:p>
    <w:p w14:paraId="126DE34B">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7A91567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74ED9F2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ECEB14A">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13014C5B">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陈</w:t>
      </w:r>
      <w:r>
        <w:rPr>
          <w:rFonts w:hint="eastAsia" w:ascii="宋体" w:hAnsi="宋体" w:eastAsia="宋体" w:cs="宋体"/>
          <w:color w:val="auto"/>
          <w:szCs w:val="24"/>
        </w:rPr>
        <w:t>老师</w:t>
      </w:r>
    </w:p>
    <w:p w14:paraId="3EFD6E54">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023-63693371</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4033"/>
      <w:bookmarkStart w:id="44" w:name="_Toc9714"/>
      <w:bookmarkStart w:id="45" w:name="_Toc14224"/>
      <w:bookmarkStart w:id="46" w:name="_Toc25272"/>
      <w:bookmarkStart w:id="47" w:name="_Toc76373872"/>
      <w:bookmarkStart w:id="48" w:name="_Toc20138"/>
      <w:bookmarkStart w:id="49" w:name="_Toc21905"/>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26427D13">
      <w:pPr>
        <w:widowControl/>
        <w:spacing w:before="120" w:beforeLines="50" w:line="360" w:lineRule="exact"/>
        <w:outlineLvl w:val="1"/>
        <w:rPr>
          <w:rFonts w:hint="default"/>
          <w:lang w:val="en-US" w:eastAsia="zh-CN"/>
        </w:rPr>
      </w:pPr>
      <w:bookmarkStart w:id="50" w:name="_Toc32286"/>
      <w:r>
        <w:rPr>
          <w:rFonts w:hint="eastAsia" w:cs="宋体"/>
          <w:b/>
          <w:color w:val="auto"/>
          <w:sz w:val="24"/>
        </w:rPr>
        <w:t>一、</w:t>
      </w:r>
      <w:bookmarkStart w:id="51" w:name="_Toc13391"/>
      <w:bookmarkStart w:id="52" w:name="_Toc76373874"/>
      <w:bookmarkStart w:id="53" w:name="_Toc3153"/>
      <w:bookmarkStart w:id="54" w:name="_Toc2599"/>
      <w:bookmarkStart w:id="55" w:name="_Toc11474"/>
      <w:bookmarkStart w:id="56" w:name="_Toc27187"/>
      <w:bookmarkStart w:id="57" w:name="_Toc25148"/>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bookmarkStart w:id="58" w:name="_Toc29620"/>
      <w:bookmarkStart w:id="59" w:name="_Toc76373876"/>
      <w:bookmarkStart w:id="60" w:name="_Toc30465"/>
      <w:bookmarkStart w:id="61" w:name="_Toc6355"/>
      <w:bookmarkStart w:id="62" w:name="_Toc29225"/>
      <w:bookmarkStart w:id="63" w:name="_Toc13107"/>
      <w:bookmarkStart w:id="64" w:name="_Toc1955"/>
    </w:p>
    <w:p w14:paraId="02A039DA">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124FECDC">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高效液相色谱检测平台在分析样本过程中进行分离纯化及检测分析。参数：</w:t>
      </w:r>
    </w:p>
    <w:p w14:paraId="41FD3A58">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1、（1）固相萃取小柱一：</w:t>
      </w:r>
    </w:p>
    <w:p w14:paraId="375A5ED6">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a.产品类型：硅胶键合苯磺酸基强阳离子交换（SCX）固相萃取小柱，基质为高纯度球形硅胶。</w:t>
      </w:r>
    </w:p>
    <w:p w14:paraId="2EA81CE0">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b.填料规格：100 mg/1 mL，包装规格：100支/盒。</w:t>
      </w:r>
    </w:p>
    <w:p w14:paraId="490EE8FC">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c.键合与封端工艺：采用单分散球形硅胶键合工艺，键合密度≥0.5 mmol/g，经过二次封端处理，降低非特异性吸附。</w:t>
      </w:r>
    </w:p>
    <w:p w14:paraId="0CB22955">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d.性能要求：对碱性化合物（如胺类、药物代谢物）的回收率RSD≤5%，空白本底无干扰峰，适配HPLC分析。</w:t>
      </w:r>
    </w:p>
    <w:p w14:paraId="03081677">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（2）固相萃取小柱二：</w:t>
      </w:r>
    </w:p>
    <w:p w14:paraId="57373C43">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 xml:space="preserve">a.产品类型：固相萃取柱为混合型弱阳离子交换（WCX）模式，聚合物基质，水可浸润型填料，干涸后不影响目标物保留效率； </w:t>
      </w:r>
    </w:p>
    <w:p w14:paraId="0C7AFE70">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 xml:space="preserve">b.规格柱体积1 cc，吸附剂装填量30 mg/支，粒径30 μm，100支/盒，单次使用设计，避免交叉污染，兼容常规有机相/水相溶剂，无溶出干扰； </w:t>
      </w:r>
    </w:p>
    <w:p w14:paraId="7BB05DFD">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 xml:space="preserve">c.离子交换容量≥0.75 meq/gram，对强碱性化合物、季铵盐类目标物具有高选择性； </w:t>
      </w:r>
    </w:p>
    <w:p w14:paraId="11B31757">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2、（1） 色谱柱一:</w:t>
      </w:r>
    </w:p>
    <w:p w14:paraId="3A04DDD2">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a.色谱柱类型：反相C18色谱柱，采用高惰性完全端基封尾技术；</w:t>
      </w:r>
    </w:p>
    <w:p w14:paraId="533B5E32">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b</w:t>
      </w:r>
      <w:r>
        <w:rPr>
          <w:rFonts w:hint="eastAsia" w:ascii="Times New Roman" w:hAnsi="Times New Roman" w:eastAsia="宋体" w:cs="Times New Roman"/>
          <w:b w:val="0"/>
          <w:bCs w:val="0"/>
          <w:color w:val="auto"/>
          <w:sz w:val="24"/>
          <w:szCs w:val="24"/>
          <w:lang w:val="en-US" w:eastAsia="zh-CN"/>
        </w:rPr>
        <w:t>.柱规格：长度150 mm，内径4.6 mm，粒径5 μm，内径100 Å；</w:t>
      </w:r>
    </w:p>
    <w:p w14:paraId="4DD48C2E">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c</w:t>
      </w:r>
      <w:r>
        <w:rPr>
          <w:rFonts w:hint="eastAsia" w:ascii="Times New Roman" w:hAnsi="Times New Roman" w:eastAsia="宋体" w:cs="Times New Roman"/>
          <w:b w:val="0"/>
          <w:bCs w:val="0"/>
          <w:color w:val="auto"/>
          <w:sz w:val="24"/>
          <w:szCs w:val="24"/>
          <w:lang w:val="en-US" w:eastAsia="zh-CN"/>
        </w:rPr>
        <w:t>.基质：高纯度新型ES球状硅胶，比表面积≥350 m²/g，孔容积≥0.85 mL/g，碳载量≥10%；</w:t>
      </w:r>
    </w:p>
    <w:p w14:paraId="0F37CB40">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d</w:t>
      </w:r>
      <w:r>
        <w:rPr>
          <w:rFonts w:hint="eastAsia" w:ascii="Times New Roman" w:hAnsi="Times New Roman" w:eastAsia="宋体" w:cs="Times New Roman"/>
          <w:b w:val="0"/>
          <w:bCs w:val="0"/>
          <w:color w:val="auto"/>
          <w:sz w:val="24"/>
          <w:szCs w:val="24"/>
          <w:lang w:val="en-US" w:eastAsia="zh-CN"/>
        </w:rPr>
        <w:t>.pH耐受范围：1~10，可在pH 2~8条件下长期稳定使用</w:t>
      </w:r>
    </w:p>
    <w:p w14:paraId="0B1F06E9">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e</w:t>
      </w:r>
      <w:r>
        <w:rPr>
          <w:rFonts w:hint="eastAsia" w:ascii="Times New Roman" w:hAnsi="Times New Roman" w:eastAsia="宋体" w:cs="Times New Roman"/>
          <w:b w:val="0"/>
          <w:bCs w:val="0"/>
          <w:color w:val="auto"/>
          <w:sz w:val="24"/>
          <w:szCs w:val="24"/>
          <w:lang w:val="en-US" w:eastAsia="zh-CN"/>
        </w:rPr>
        <w:t>.柱寿命≥1000针；</w:t>
      </w:r>
    </w:p>
    <w:p w14:paraId="37320C2E">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f</w:t>
      </w:r>
      <w:r>
        <w:rPr>
          <w:rFonts w:hint="eastAsia" w:ascii="Times New Roman" w:hAnsi="Times New Roman" w:eastAsia="宋体" w:cs="Times New Roman"/>
          <w:b w:val="0"/>
          <w:bCs w:val="0"/>
          <w:color w:val="auto"/>
          <w:sz w:val="24"/>
          <w:szCs w:val="24"/>
          <w:lang w:val="en-US" w:eastAsia="zh-CN"/>
        </w:rPr>
        <w:t>.最高耐受温度≥60 ℃，最高耐受压力≥400 bar；</w:t>
      </w:r>
    </w:p>
    <w:p w14:paraId="267D49E5">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g</w:t>
      </w:r>
      <w:r>
        <w:rPr>
          <w:rFonts w:hint="eastAsia" w:ascii="Times New Roman" w:hAnsi="Times New Roman" w:eastAsia="宋体" w:cs="Times New Roman"/>
          <w:b w:val="0"/>
          <w:bCs w:val="0"/>
          <w:color w:val="auto"/>
          <w:sz w:val="24"/>
          <w:szCs w:val="24"/>
          <w:lang w:val="en-US" w:eastAsia="zh-CN"/>
        </w:rPr>
        <w:t>.柱效要求：理论塔板数≥60000/米，不对称因子0.9~1.2；</w:t>
      </w:r>
    </w:p>
    <w:p w14:paraId="65173C9F">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h</w:t>
      </w:r>
      <w:r>
        <w:rPr>
          <w:rFonts w:hint="eastAsia" w:ascii="Times New Roman" w:hAnsi="Times New Roman" w:eastAsia="宋体" w:cs="Times New Roman"/>
          <w:b w:val="0"/>
          <w:bCs w:val="0"/>
          <w:color w:val="auto"/>
          <w:sz w:val="24"/>
          <w:szCs w:val="24"/>
          <w:lang w:val="en-US" w:eastAsia="zh-CN"/>
        </w:rPr>
        <w:t>.适配性：兼容常规HPLC系统。</w:t>
      </w:r>
    </w:p>
    <w:p w14:paraId="70BC11A6">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 xml:space="preserve">（2） 色谱柱二: </w:t>
      </w:r>
    </w:p>
    <w:p w14:paraId="2F3E56EC">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a.色谱柱类型：反相C18色谱柱，采用StableBond键合技术，无封端设计；</w:t>
      </w:r>
    </w:p>
    <w:p w14:paraId="34D5442A">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b.柱规格：长度100 mm，内径3.0 mm，粒径3.5 μm，孔径80 Å；</w:t>
      </w:r>
    </w:p>
    <w:p w14:paraId="6A312DBC">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c.填料基质：高纯度B型多孔硅胶，碳载量≥10%；</w:t>
      </w:r>
    </w:p>
    <w:p w14:paraId="3183B758">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d.pH耐受范围：0.8~8，可在pH 1~3的强酸性流动相中稳定使用，柱寿命≥1000针；</w:t>
      </w:r>
    </w:p>
    <w:p w14:paraId="2F58DC39">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e.最高耐受压力：≥400 bar，兼容常规HPLC系统；</w:t>
      </w:r>
    </w:p>
    <w:p w14:paraId="1CC01C0C">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f.柱效要求：理论塔板数≥80000/米，不对称因子0.9~1.2；</w:t>
      </w:r>
    </w:p>
    <w:p w14:paraId="3BEA0566">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g.适配性：兼容常规HPLC系统。</w:t>
      </w:r>
    </w:p>
    <w:p w14:paraId="57E943B4">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3、色谱保护柱套：</w:t>
      </w:r>
    </w:p>
    <w:p w14:paraId="30E07278">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a.产品类型：HPLC分析型保护柱系统（保护柱套套件），适配常规HPLC分析柱；</w:t>
      </w:r>
    </w:p>
    <w:p w14:paraId="6F23CCB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b.兼容范围：支持内径2.0~8.0 mm的非核壳型、粒径≥3 μm的分析柱；</w:t>
      </w:r>
    </w:p>
    <w:p w14:paraId="2ED78194">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c.压力耐受：最高耐受压力≥3500 psi（约241 bar），兼容常规HPLC系统；</w:t>
      </w:r>
    </w:p>
    <w:p w14:paraId="2FC45ACE">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d.材质与设计：不锈钢柱套，低死体积设计，不引入额外峰展宽；</w:t>
      </w:r>
    </w:p>
    <w:p w14:paraId="00378F0C">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e.配套配件：包含保护柱套、PEEK卡套、手紧接头、专用扳手等完整配件，可直接安装使用；</w:t>
      </w:r>
    </w:p>
    <w:p w14:paraId="5E876378">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f.溶剂兼容性：兼容甲醇、乙腈、水及常规缓冲盐体系，耐pH 1~10。</w:t>
      </w:r>
    </w:p>
    <w:p w14:paraId="78CCD378">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4、色谱保护柱芯：</w:t>
      </w:r>
    </w:p>
    <w:p w14:paraId="1A929138">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a.产品类型：HPLC反相色谱C18保护柱芯，</w:t>
      </w:r>
    </w:p>
    <w:p w14:paraId="0834DF3E">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b.规格：长度4 mm，内径3.0 mm，键合相为十八烷基（C18），完全端基封尾；</w:t>
      </w:r>
    </w:p>
    <w:p w14:paraId="1F0105E9">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c.基质：高纯度硅胶基质，孔径100 Å，兼容3-5 μm粒径的分析柱；</w:t>
      </w:r>
    </w:p>
    <w:p w14:paraId="415BF65F">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d.pH耐受范围：1~10，兼容常规反相流动相体系；</w:t>
      </w:r>
    </w:p>
    <w:p w14:paraId="0C39FF36">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e.最高耐受压力≥3500 psi（约241 bar），适配常规HPLC系统。</w:t>
      </w:r>
    </w:p>
    <w:p w14:paraId="3FA154D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 xml:space="preserve">5、 甲醇 </w:t>
      </w:r>
      <w:r>
        <w:rPr>
          <w:rFonts w:hint="eastAsia" w:ascii="Times New Roman" w:hAnsi="Times New Roman" w:eastAsia="宋体" w:cs="Times New Roman"/>
          <w:b w:val="0"/>
          <w:bCs w:val="0"/>
          <w:color w:val="auto"/>
          <w:sz w:val="24"/>
          <w:szCs w:val="24"/>
          <w:lang w:val="en-US" w:eastAsia="zh-CN"/>
        </w:rPr>
        <w:tab/>
      </w:r>
      <w:r>
        <w:rPr>
          <w:rFonts w:hint="eastAsia" w:ascii="Times New Roman" w:hAnsi="Times New Roman" w:eastAsia="宋体" w:cs="Times New Roman"/>
          <w:b w:val="0"/>
          <w:bCs w:val="0"/>
          <w:color w:val="auto"/>
          <w:sz w:val="24"/>
          <w:szCs w:val="24"/>
          <w:lang w:val="en-US" w:eastAsia="zh-CN"/>
        </w:rPr>
        <w:t xml:space="preserve">色谱纯 </w:t>
      </w:r>
      <w:r>
        <w:rPr>
          <w:rFonts w:hint="eastAsia" w:ascii="Times New Roman" w:hAnsi="Times New Roman" w:eastAsia="宋体" w:cs="Times New Roman"/>
          <w:b w:val="0"/>
          <w:bCs w:val="0"/>
          <w:color w:val="auto"/>
          <w:sz w:val="24"/>
          <w:szCs w:val="24"/>
          <w:lang w:val="en-US" w:eastAsia="zh-CN"/>
        </w:rPr>
        <w:tab/>
      </w:r>
      <w:r>
        <w:rPr>
          <w:rFonts w:hint="eastAsia" w:ascii="Times New Roman" w:hAnsi="Times New Roman" w:eastAsia="宋体" w:cs="Times New Roman"/>
          <w:b w:val="0"/>
          <w:bCs w:val="0"/>
          <w:color w:val="auto"/>
          <w:sz w:val="24"/>
          <w:szCs w:val="24"/>
          <w:lang w:val="en-US" w:eastAsia="zh-CN"/>
        </w:rPr>
        <w:t>4L/瓶。</w:t>
      </w:r>
    </w:p>
    <w:p w14:paraId="459B28DC">
      <w:pPr>
        <w:pStyle w:val="168"/>
        <w:widowControl/>
        <w:spacing w:line="400" w:lineRule="exact"/>
        <w:ind w:firstLine="960" w:firstLineChars="4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乙腈    色谱纯 4L/瓶。</w:t>
      </w:r>
    </w:p>
    <w:p w14:paraId="7418AE43">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6、 微孔滤膜有机系：50mm*0.2um；</w:t>
      </w:r>
    </w:p>
    <w:p w14:paraId="3E58CF88">
      <w:pPr>
        <w:pStyle w:val="168"/>
        <w:widowControl/>
        <w:spacing w:line="400" w:lineRule="exact"/>
        <w:ind w:firstLine="960" w:firstLineChars="4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微孔滤膜水系：50mm*0.2um。</w:t>
      </w:r>
    </w:p>
    <w:p w14:paraId="4676CEF9">
      <w:pPr>
        <w:pStyle w:val="168"/>
        <w:widowControl/>
        <w:spacing w:line="400" w:lineRule="exact"/>
        <w:ind w:firstLine="960" w:firstLineChars="40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砂芯抽滤装置</w:t>
      </w:r>
      <w:r>
        <w:rPr>
          <w:rFonts w:hint="eastAsia" w:ascii="Times New Roman" w:hAnsi="Times New Roman" w:eastAsia="宋体" w:cs="Times New Roman"/>
          <w:b w:val="0"/>
          <w:bCs w:val="0"/>
          <w:color w:val="auto"/>
          <w:sz w:val="24"/>
          <w:szCs w:val="24"/>
          <w:lang w:val="en-US" w:eastAsia="zh-CN"/>
        </w:rPr>
        <w:tab/>
      </w:r>
      <w:r>
        <w:rPr>
          <w:rFonts w:hint="eastAsia" w:ascii="Times New Roman" w:hAnsi="Times New Roman" w:eastAsia="宋体" w:cs="Times New Roman"/>
          <w:b w:val="0"/>
          <w:bCs w:val="0"/>
          <w:color w:val="auto"/>
          <w:sz w:val="24"/>
          <w:szCs w:val="24"/>
          <w:lang w:val="en-US" w:eastAsia="zh-CN"/>
        </w:rPr>
        <w:t>1000ml</w:t>
      </w:r>
      <w:r>
        <w:rPr>
          <w:rFonts w:hint="default" w:ascii="Times New Roman" w:hAnsi="Times New Roman" w:eastAsia="宋体" w:cs="Times New Roman"/>
          <w:b w:val="0"/>
          <w:bCs w:val="0"/>
          <w:color w:val="auto"/>
          <w:sz w:val="24"/>
          <w:szCs w:val="24"/>
          <w:lang w:val="en-US" w:eastAsia="zh-CN"/>
        </w:rPr>
        <w:t>。</w:t>
      </w:r>
    </w:p>
    <w:p w14:paraId="1463975E">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详细清单如下：</w:t>
      </w:r>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9"/>
        <w:gridCol w:w="2781"/>
        <w:gridCol w:w="1029"/>
        <w:gridCol w:w="3233"/>
      </w:tblGrid>
      <w:tr w14:paraId="7A982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13E9275A">
            <w:pPr>
              <w:spacing w:line="360" w:lineRule="auto"/>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序号</w:t>
            </w:r>
          </w:p>
        </w:tc>
        <w:tc>
          <w:tcPr>
            <w:tcW w:w="2781" w:type="dxa"/>
            <w:vAlign w:val="center"/>
          </w:tcPr>
          <w:p w14:paraId="2899C408">
            <w:pPr>
              <w:spacing w:line="360" w:lineRule="auto"/>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产品名称</w:t>
            </w:r>
          </w:p>
        </w:tc>
        <w:tc>
          <w:tcPr>
            <w:tcW w:w="1029" w:type="dxa"/>
            <w:vAlign w:val="center"/>
          </w:tcPr>
          <w:p w14:paraId="1FBB6C68">
            <w:pPr>
              <w:spacing w:line="360" w:lineRule="auto"/>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序号</w:t>
            </w:r>
          </w:p>
        </w:tc>
        <w:tc>
          <w:tcPr>
            <w:tcW w:w="3233" w:type="dxa"/>
            <w:vAlign w:val="center"/>
          </w:tcPr>
          <w:p w14:paraId="5D8C3C4E">
            <w:pPr>
              <w:spacing w:line="360" w:lineRule="auto"/>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产品名称</w:t>
            </w:r>
          </w:p>
        </w:tc>
      </w:tr>
      <w:tr w14:paraId="1DCE0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42E4F045">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w:t>
            </w:r>
          </w:p>
        </w:tc>
        <w:tc>
          <w:tcPr>
            <w:tcW w:w="2781" w:type="dxa"/>
            <w:vAlign w:val="center"/>
          </w:tcPr>
          <w:p w14:paraId="1F03C7C3">
            <w:pPr>
              <w:keepNext w:val="0"/>
              <w:keepLines w:val="0"/>
              <w:widowControl/>
              <w:suppressLineNumbers w:val="0"/>
              <w:spacing w:line="360" w:lineRule="auto"/>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固相萃取小柱一</w:t>
            </w:r>
          </w:p>
        </w:tc>
        <w:tc>
          <w:tcPr>
            <w:tcW w:w="1029" w:type="dxa"/>
            <w:vAlign w:val="center"/>
          </w:tcPr>
          <w:p w14:paraId="1EDC6394">
            <w:pPr>
              <w:spacing w:line="360" w:lineRule="auto"/>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7</w:t>
            </w:r>
          </w:p>
        </w:tc>
        <w:tc>
          <w:tcPr>
            <w:tcW w:w="3233" w:type="dxa"/>
            <w:vAlign w:val="center"/>
          </w:tcPr>
          <w:p w14:paraId="59D73A22">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乙腈</w:t>
            </w:r>
          </w:p>
        </w:tc>
      </w:tr>
      <w:tr w14:paraId="7703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547012A4">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w:t>
            </w:r>
          </w:p>
        </w:tc>
        <w:tc>
          <w:tcPr>
            <w:tcW w:w="2781" w:type="dxa"/>
            <w:vAlign w:val="center"/>
          </w:tcPr>
          <w:p w14:paraId="78E3D959">
            <w:pPr>
              <w:keepNext w:val="0"/>
              <w:keepLines w:val="0"/>
              <w:widowControl/>
              <w:suppressLineNumbers w:val="0"/>
              <w:spacing w:line="360" w:lineRule="auto"/>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固相萃取小柱二</w:t>
            </w:r>
          </w:p>
        </w:tc>
        <w:tc>
          <w:tcPr>
            <w:tcW w:w="1029" w:type="dxa"/>
            <w:vAlign w:val="center"/>
          </w:tcPr>
          <w:p w14:paraId="6FBBFDEC">
            <w:pPr>
              <w:spacing w:line="360" w:lineRule="auto"/>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8</w:t>
            </w:r>
          </w:p>
        </w:tc>
        <w:tc>
          <w:tcPr>
            <w:tcW w:w="3233" w:type="dxa"/>
            <w:vAlign w:val="center"/>
          </w:tcPr>
          <w:p w14:paraId="1EDB743B">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微孔滤膜有机系</w:t>
            </w:r>
          </w:p>
        </w:tc>
      </w:tr>
      <w:tr w14:paraId="28DD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1EEB3F3C">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w:t>
            </w:r>
          </w:p>
        </w:tc>
        <w:tc>
          <w:tcPr>
            <w:tcW w:w="2781" w:type="dxa"/>
            <w:vAlign w:val="center"/>
          </w:tcPr>
          <w:p w14:paraId="2C0F9111">
            <w:pPr>
              <w:keepNext w:val="0"/>
              <w:keepLines w:val="0"/>
              <w:widowControl/>
              <w:suppressLineNumbers w:val="0"/>
              <w:spacing w:line="360" w:lineRule="auto"/>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色谱柱一</w:t>
            </w:r>
          </w:p>
        </w:tc>
        <w:tc>
          <w:tcPr>
            <w:tcW w:w="1029" w:type="dxa"/>
            <w:vAlign w:val="center"/>
          </w:tcPr>
          <w:p w14:paraId="2B01CB45">
            <w:pPr>
              <w:spacing w:line="360" w:lineRule="auto"/>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9</w:t>
            </w:r>
          </w:p>
        </w:tc>
        <w:tc>
          <w:tcPr>
            <w:tcW w:w="3233" w:type="dxa"/>
            <w:vAlign w:val="center"/>
          </w:tcPr>
          <w:p w14:paraId="61A0E87F">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微孔滤膜水系</w:t>
            </w:r>
          </w:p>
        </w:tc>
      </w:tr>
      <w:tr w14:paraId="43B6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64D8095B">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w:t>
            </w:r>
          </w:p>
        </w:tc>
        <w:tc>
          <w:tcPr>
            <w:tcW w:w="2781" w:type="dxa"/>
            <w:vAlign w:val="center"/>
          </w:tcPr>
          <w:p w14:paraId="0FD10B9F">
            <w:pPr>
              <w:keepNext w:val="0"/>
              <w:keepLines w:val="0"/>
              <w:widowControl/>
              <w:suppressLineNumbers w:val="0"/>
              <w:spacing w:line="360" w:lineRule="auto"/>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色谱柱二</w:t>
            </w:r>
          </w:p>
        </w:tc>
        <w:tc>
          <w:tcPr>
            <w:tcW w:w="1029" w:type="dxa"/>
            <w:vAlign w:val="center"/>
          </w:tcPr>
          <w:p w14:paraId="7BC7FEFB">
            <w:pPr>
              <w:spacing w:line="360" w:lineRule="auto"/>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10</w:t>
            </w:r>
          </w:p>
        </w:tc>
        <w:tc>
          <w:tcPr>
            <w:tcW w:w="3233" w:type="dxa"/>
            <w:vAlign w:val="center"/>
          </w:tcPr>
          <w:p w14:paraId="24C13B8A">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砂芯抽滤装置</w:t>
            </w:r>
          </w:p>
        </w:tc>
      </w:tr>
      <w:tr w14:paraId="728B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43F39A2B">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5</w:t>
            </w:r>
          </w:p>
        </w:tc>
        <w:tc>
          <w:tcPr>
            <w:tcW w:w="2781" w:type="dxa"/>
            <w:vAlign w:val="center"/>
          </w:tcPr>
          <w:p w14:paraId="30D86CE1">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色谱保护柱套</w:t>
            </w:r>
          </w:p>
        </w:tc>
        <w:tc>
          <w:tcPr>
            <w:tcW w:w="1029" w:type="dxa"/>
            <w:vAlign w:val="center"/>
          </w:tcPr>
          <w:p w14:paraId="530FB8CB">
            <w:pPr>
              <w:spacing w:line="360" w:lineRule="auto"/>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11</w:t>
            </w:r>
          </w:p>
        </w:tc>
        <w:tc>
          <w:tcPr>
            <w:tcW w:w="3233" w:type="dxa"/>
            <w:vAlign w:val="center"/>
          </w:tcPr>
          <w:p w14:paraId="291A2FC0">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甲醇</w:t>
            </w:r>
          </w:p>
        </w:tc>
      </w:tr>
      <w:tr w14:paraId="09A8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2100BE00">
            <w:pPr>
              <w:keepNext w:val="0"/>
              <w:keepLines w:val="0"/>
              <w:widowControl/>
              <w:suppressLineNumbers w:val="0"/>
              <w:spacing w:line="360" w:lineRule="auto"/>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6</w:t>
            </w:r>
          </w:p>
        </w:tc>
        <w:tc>
          <w:tcPr>
            <w:tcW w:w="2781" w:type="dxa"/>
            <w:vAlign w:val="center"/>
          </w:tcPr>
          <w:p w14:paraId="1684B996">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色谱保护柱芯</w:t>
            </w:r>
          </w:p>
        </w:tc>
        <w:tc>
          <w:tcPr>
            <w:tcW w:w="1029" w:type="dxa"/>
            <w:vAlign w:val="center"/>
          </w:tcPr>
          <w:p w14:paraId="70EEF7E8">
            <w:pPr>
              <w:spacing w:line="360" w:lineRule="auto"/>
              <w:jc w:val="center"/>
              <w:rPr>
                <w:rFonts w:hint="eastAsia" w:ascii="宋体" w:hAnsi="宋体" w:eastAsia="宋体" w:cs="宋体"/>
                <w:sz w:val="22"/>
                <w:szCs w:val="22"/>
                <w:vertAlign w:val="baseline"/>
                <w:lang w:val="en-US" w:eastAsia="zh-CN"/>
              </w:rPr>
            </w:pPr>
          </w:p>
        </w:tc>
        <w:tc>
          <w:tcPr>
            <w:tcW w:w="3233" w:type="dxa"/>
            <w:vAlign w:val="center"/>
          </w:tcPr>
          <w:p w14:paraId="7A619694">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p>
        </w:tc>
      </w:tr>
    </w:tbl>
    <w:p w14:paraId="69C920BA">
      <w:pPr>
        <w:spacing w:line="320" w:lineRule="exact"/>
        <w:ind w:left="479" w:leftChars="85" w:hanging="241" w:hangingChars="100"/>
        <w:jc w:val="left"/>
        <w:rPr>
          <w:rFonts w:hint="eastAsia" w:ascii="宋体" w:hAnsi="宋体" w:eastAsia="宋体" w:cs="宋体"/>
          <w:b/>
          <w:bCs/>
          <w:color w:val="auto"/>
          <w:sz w:val="24"/>
          <w:szCs w:val="24"/>
          <w:lang w:val="en-US" w:eastAsia="zh-CN"/>
        </w:rPr>
      </w:pPr>
    </w:p>
    <w:p w14:paraId="33406CED">
      <w:pPr>
        <w:spacing w:line="320" w:lineRule="exact"/>
        <w:ind w:left="479" w:leftChars="85" w:hanging="241" w:hangingChars="100"/>
        <w:jc w:val="left"/>
        <w:rPr>
          <w:rFonts w:hint="eastAsia" w:ascii="宋体" w:hAnsi="宋体" w:cs="宋体"/>
          <w:color w:val="auto"/>
          <w:sz w:val="24"/>
          <w:szCs w:val="24"/>
          <w:lang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p>
    <w:p w14:paraId="240462F6">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1.主要用于制备诊断和治疗用的放射性药物</w:t>
      </w:r>
      <w:r>
        <w:rPr>
          <w:rFonts w:hint="eastAsia" w:ascii="Times New Roman" w:hAnsi="Times New Roman" w:cs="Times New Roman"/>
          <w:b w:val="0"/>
          <w:bCs w:val="0"/>
          <w:color w:val="auto"/>
          <w:sz w:val="24"/>
          <w:szCs w:val="24"/>
          <w:lang w:val="en-US" w:eastAsia="zh-CN"/>
        </w:rPr>
        <w:t>。</w:t>
      </w:r>
    </w:p>
    <w:p w14:paraId="210718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2.所有前体化学纯度≥95%，规格1mg/瓶。</w:t>
      </w:r>
    </w:p>
    <w:p w14:paraId="2CDF8B0D">
      <w:pPr>
        <w:pStyle w:val="168"/>
        <w:widowControl/>
        <w:spacing w:line="400" w:lineRule="exact"/>
        <w:ind w:firstLine="480" w:firstLineChars="200"/>
        <w:rPr>
          <w:rFonts w:hint="eastAsia"/>
          <w:lang w:eastAsia="zh-CN"/>
        </w:rPr>
      </w:pPr>
      <w:r>
        <w:rPr>
          <w:rFonts w:hint="eastAsia" w:ascii="Times New Roman" w:hAnsi="Times New Roman" w:eastAsia="宋体" w:cs="Times New Roman"/>
          <w:b w:val="0"/>
          <w:bCs w:val="0"/>
          <w:color w:val="auto"/>
          <w:sz w:val="24"/>
          <w:szCs w:val="24"/>
          <w:lang w:val="en-US" w:eastAsia="zh-CN"/>
        </w:rPr>
        <w:t>详细清单如下：</w:t>
      </w:r>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9"/>
        <w:gridCol w:w="2781"/>
        <w:gridCol w:w="1029"/>
        <w:gridCol w:w="3233"/>
      </w:tblGrid>
      <w:tr w14:paraId="29BF7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00EBBFB8">
            <w:pPr>
              <w:spacing w:line="360" w:lineRule="auto"/>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序号</w:t>
            </w:r>
          </w:p>
        </w:tc>
        <w:tc>
          <w:tcPr>
            <w:tcW w:w="2781" w:type="dxa"/>
            <w:vAlign w:val="center"/>
          </w:tcPr>
          <w:p w14:paraId="0EED9489">
            <w:pPr>
              <w:spacing w:line="360" w:lineRule="auto"/>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产品名称</w:t>
            </w:r>
          </w:p>
        </w:tc>
        <w:tc>
          <w:tcPr>
            <w:tcW w:w="1029" w:type="dxa"/>
            <w:vAlign w:val="center"/>
          </w:tcPr>
          <w:p w14:paraId="08C31901">
            <w:pPr>
              <w:spacing w:line="360" w:lineRule="auto"/>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序号</w:t>
            </w:r>
          </w:p>
        </w:tc>
        <w:tc>
          <w:tcPr>
            <w:tcW w:w="3233" w:type="dxa"/>
            <w:vAlign w:val="center"/>
          </w:tcPr>
          <w:p w14:paraId="655DC11B">
            <w:pPr>
              <w:spacing w:line="360" w:lineRule="auto"/>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产品名称</w:t>
            </w:r>
          </w:p>
        </w:tc>
      </w:tr>
      <w:tr w14:paraId="26CF8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0C4412F9">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w:t>
            </w:r>
          </w:p>
        </w:tc>
        <w:tc>
          <w:tcPr>
            <w:tcW w:w="2781" w:type="dxa"/>
            <w:vAlign w:val="center"/>
          </w:tcPr>
          <w:p w14:paraId="2C534068">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AV1451前体</w:t>
            </w:r>
          </w:p>
        </w:tc>
        <w:tc>
          <w:tcPr>
            <w:tcW w:w="1029" w:type="dxa"/>
            <w:vAlign w:val="center"/>
          </w:tcPr>
          <w:p w14:paraId="5F1BC603">
            <w:pPr>
              <w:keepNext w:val="0"/>
              <w:keepLines w:val="0"/>
              <w:widowControl/>
              <w:suppressLineNumbers w:val="0"/>
              <w:spacing w:line="360" w:lineRule="auto"/>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6</w:t>
            </w:r>
          </w:p>
        </w:tc>
        <w:tc>
          <w:tcPr>
            <w:tcW w:w="3233" w:type="dxa"/>
            <w:shd w:val="clear" w:color="auto" w:fill="auto"/>
            <w:vAlign w:val="center"/>
          </w:tcPr>
          <w:p w14:paraId="328D5CBF">
            <w:pPr>
              <w:keepNext w:val="0"/>
              <w:keepLines w:val="0"/>
              <w:widowControl/>
              <w:suppressLineNumbers w:val="0"/>
              <w:jc w:val="center"/>
              <w:textAlignment w:val="center"/>
              <w:rPr>
                <w:rFonts w:hint="default"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Pentixafor 前体</w:t>
            </w:r>
          </w:p>
        </w:tc>
      </w:tr>
      <w:tr w14:paraId="04D55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3C7EA6D7">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w:t>
            </w:r>
          </w:p>
        </w:tc>
        <w:tc>
          <w:tcPr>
            <w:tcW w:w="2781" w:type="dxa"/>
            <w:vAlign w:val="center"/>
          </w:tcPr>
          <w:p w14:paraId="070445F2">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PSMA11前体</w:t>
            </w:r>
          </w:p>
        </w:tc>
        <w:tc>
          <w:tcPr>
            <w:tcW w:w="1029" w:type="dxa"/>
            <w:vAlign w:val="center"/>
          </w:tcPr>
          <w:p w14:paraId="11AC1FAD">
            <w:pPr>
              <w:keepNext w:val="0"/>
              <w:keepLines w:val="0"/>
              <w:widowControl/>
              <w:suppressLineNumbers w:val="0"/>
              <w:spacing w:line="360" w:lineRule="auto"/>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7</w:t>
            </w:r>
          </w:p>
        </w:tc>
        <w:tc>
          <w:tcPr>
            <w:tcW w:w="3233" w:type="dxa"/>
            <w:shd w:val="clear" w:color="auto" w:fill="auto"/>
            <w:vAlign w:val="center"/>
          </w:tcPr>
          <w:p w14:paraId="656ED6C7">
            <w:pPr>
              <w:keepNext w:val="0"/>
              <w:keepLines w:val="0"/>
              <w:widowControl/>
              <w:suppressLineNumbers w:val="0"/>
              <w:jc w:val="center"/>
              <w:textAlignment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DOTA-WL12前体</w:t>
            </w:r>
          </w:p>
        </w:tc>
      </w:tr>
      <w:tr w14:paraId="7FAA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26EBFCA8">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w:t>
            </w:r>
          </w:p>
        </w:tc>
        <w:tc>
          <w:tcPr>
            <w:tcW w:w="2781" w:type="dxa"/>
            <w:vAlign w:val="center"/>
          </w:tcPr>
          <w:p w14:paraId="60E04CD7">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DOTA-TATE前体</w:t>
            </w:r>
          </w:p>
        </w:tc>
        <w:tc>
          <w:tcPr>
            <w:tcW w:w="1029" w:type="dxa"/>
            <w:vAlign w:val="center"/>
          </w:tcPr>
          <w:p w14:paraId="597A59E5">
            <w:pPr>
              <w:keepNext w:val="0"/>
              <w:keepLines w:val="0"/>
              <w:widowControl/>
              <w:suppressLineNumbers w:val="0"/>
              <w:spacing w:line="360" w:lineRule="auto"/>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8</w:t>
            </w:r>
          </w:p>
        </w:tc>
        <w:tc>
          <w:tcPr>
            <w:tcW w:w="3233" w:type="dxa"/>
            <w:shd w:val="clear" w:color="auto" w:fill="auto"/>
            <w:vAlign w:val="center"/>
          </w:tcPr>
          <w:p w14:paraId="1FDAC59D">
            <w:pPr>
              <w:keepNext w:val="0"/>
              <w:keepLines w:val="0"/>
              <w:widowControl/>
              <w:suppressLineNumbers w:val="0"/>
              <w:jc w:val="center"/>
              <w:textAlignment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DOTA-EXENDIN-4前体</w:t>
            </w:r>
          </w:p>
        </w:tc>
      </w:tr>
      <w:tr w14:paraId="2F63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0EAA732B">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w:t>
            </w:r>
          </w:p>
        </w:tc>
        <w:tc>
          <w:tcPr>
            <w:tcW w:w="2781" w:type="dxa"/>
            <w:vAlign w:val="center"/>
          </w:tcPr>
          <w:p w14:paraId="6ECB3EAC">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FCH前体</w:t>
            </w:r>
          </w:p>
        </w:tc>
        <w:tc>
          <w:tcPr>
            <w:tcW w:w="1029" w:type="dxa"/>
            <w:vAlign w:val="center"/>
          </w:tcPr>
          <w:p w14:paraId="4728D1EC">
            <w:pPr>
              <w:keepNext w:val="0"/>
              <w:keepLines w:val="0"/>
              <w:widowControl/>
              <w:suppressLineNumbers w:val="0"/>
              <w:spacing w:line="360" w:lineRule="auto"/>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9</w:t>
            </w:r>
          </w:p>
        </w:tc>
        <w:tc>
          <w:tcPr>
            <w:tcW w:w="3233" w:type="dxa"/>
            <w:shd w:val="clear" w:color="auto" w:fill="auto"/>
            <w:vAlign w:val="center"/>
          </w:tcPr>
          <w:p w14:paraId="3C0825EC">
            <w:pPr>
              <w:keepNext w:val="0"/>
              <w:keepLines w:val="0"/>
              <w:widowControl/>
              <w:suppressLineNumbers w:val="0"/>
              <w:jc w:val="center"/>
              <w:textAlignment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DOTA-LM3前体</w:t>
            </w:r>
          </w:p>
        </w:tc>
      </w:tr>
      <w:tr w14:paraId="6E58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0AF954A5">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5</w:t>
            </w:r>
          </w:p>
        </w:tc>
        <w:tc>
          <w:tcPr>
            <w:tcW w:w="2781" w:type="dxa"/>
            <w:vAlign w:val="center"/>
          </w:tcPr>
          <w:p w14:paraId="67F1ACA7">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FAP04前体</w:t>
            </w:r>
            <w:bookmarkStart w:id="196" w:name="_GoBack"/>
            <w:bookmarkEnd w:id="196"/>
          </w:p>
        </w:tc>
        <w:tc>
          <w:tcPr>
            <w:tcW w:w="1029" w:type="dxa"/>
            <w:vAlign w:val="center"/>
          </w:tcPr>
          <w:p w14:paraId="0720F079">
            <w:pPr>
              <w:spacing w:line="360" w:lineRule="auto"/>
              <w:jc w:val="center"/>
              <w:rPr>
                <w:rFonts w:hint="default" w:ascii="宋体" w:hAnsi="宋体" w:eastAsia="宋体" w:cs="宋体"/>
                <w:sz w:val="22"/>
                <w:szCs w:val="22"/>
                <w:vertAlign w:val="baseline"/>
                <w:lang w:val="en-US" w:eastAsia="zh-CN"/>
              </w:rPr>
            </w:pPr>
          </w:p>
        </w:tc>
        <w:tc>
          <w:tcPr>
            <w:tcW w:w="3233" w:type="dxa"/>
            <w:shd w:val="clear" w:color="auto" w:fill="auto"/>
            <w:vAlign w:val="center"/>
          </w:tcPr>
          <w:p w14:paraId="1E5DD900">
            <w:pPr>
              <w:keepNext w:val="0"/>
              <w:keepLines w:val="0"/>
              <w:widowControl/>
              <w:suppressLineNumbers w:val="0"/>
              <w:jc w:val="center"/>
              <w:textAlignment w:val="center"/>
              <w:rPr>
                <w:rFonts w:hint="eastAsia" w:ascii="宋体" w:hAnsi="宋体" w:eastAsia="宋体" w:cs="宋体"/>
                <w:kern w:val="2"/>
                <w:sz w:val="22"/>
                <w:szCs w:val="22"/>
                <w:vertAlign w:val="baseline"/>
                <w:lang w:val="en-US" w:eastAsia="zh-CN" w:bidi="ar-SA"/>
              </w:rPr>
            </w:pPr>
          </w:p>
        </w:tc>
      </w:tr>
    </w:tbl>
    <w:p w14:paraId="4DB941CF">
      <w:pPr>
        <w:pStyle w:val="31"/>
        <w:rPr>
          <w:rFonts w:hint="default"/>
          <w:lang w:val="en-US" w:eastAsia="zh-CN"/>
        </w:rPr>
      </w:pPr>
    </w:p>
    <w:p w14:paraId="5533BE98">
      <w:pPr>
        <w:pStyle w:val="2"/>
        <w:ind w:firstLine="480" w:firstLineChars="200"/>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5" w:name="_Toc6540"/>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17524"/>
      <w:bookmarkStart w:id="67" w:name="_Toc76373878"/>
      <w:bookmarkStart w:id="68" w:name="_Toc4791"/>
      <w:bookmarkStart w:id="69" w:name="_Toc1768"/>
      <w:bookmarkStart w:id="70" w:name="_Toc31843"/>
      <w:bookmarkStart w:id="71" w:name="_Toc7794"/>
      <w:bookmarkStart w:id="72" w:name="_Toc15650"/>
      <w:bookmarkStart w:id="73" w:name="_Toc17944"/>
      <w:bookmarkStart w:id="74" w:name="_Toc24122"/>
      <w:bookmarkStart w:id="75" w:name="_Toc2072"/>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76373879"/>
      <w:bookmarkStart w:id="78" w:name="_Toc22561"/>
      <w:bookmarkStart w:id="79" w:name="_Toc30551"/>
      <w:bookmarkStart w:id="80" w:name="_Toc29836"/>
      <w:bookmarkStart w:id="81" w:name="_Toc14311"/>
      <w:bookmarkStart w:id="82" w:name="_Toc9339"/>
      <w:bookmarkStart w:id="83" w:name="_Toc5959"/>
      <w:bookmarkStart w:id="84" w:name="_Toc13528"/>
      <w:bookmarkStart w:id="85" w:name="_Toc28942"/>
      <w:bookmarkStart w:id="86"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7893"/>
      <w:bookmarkStart w:id="88" w:name="_Toc20772"/>
      <w:bookmarkStart w:id="89" w:name="_Toc12384"/>
      <w:bookmarkStart w:id="90" w:name="_Toc20263"/>
      <w:bookmarkStart w:id="91" w:name="_Toc76373885"/>
      <w:bookmarkStart w:id="92" w:name="_Toc27737"/>
      <w:bookmarkStart w:id="93" w:name="_Toc2258"/>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76373886"/>
      <w:bookmarkStart w:id="95" w:name="_Toc11052"/>
      <w:bookmarkStart w:id="96" w:name="_Toc23699"/>
      <w:bookmarkStart w:id="97" w:name="_Toc12712"/>
      <w:bookmarkStart w:id="98" w:name="_Toc28189"/>
      <w:bookmarkStart w:id="99" w:name="_Toc7115"/>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2EFBDE1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C05FE70">
      <w:pPr>
        <w:spacing w:line="400" w:lineRule="exact"/>
        <w:outlineLvl w:val="1"/>
        <w:rPr>
          <w:rFonts w:hint="eastAsia" w:cs="宋体"/>
          <w:b/>
          <w:color w:val="auto"/>
          <w:sz w:val="24"/>
        </w:rPr>
      </w:pPr>
      <w:bookmarkStart w:id="101" w:name="_Toc76373887"/>
      <w:bookmarkStart w:id="102" w:name="_Toc26754"/>
      <w:bookmarkStart w:id="103" w:name="_Toc31293"/>
      <w:bookmarkStart w:id="104" w:name="_Toc13585"/>
      <w:bookmarkStart w:id="105" w:name="_Toc9147"/>
      <w:bookmarkStart w:id="106" w:name="_Toc5535"/>
      <w:bookmarkStart w:id="107" w:name="_Toc19809"/>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1"/>
      <w:bookmarkEnd w:id="102"/>
      <w:bookmarkEnd w:id="103"/>
      <w:bookmarkEnd w:id="104"/>
      <w:bookmarkEnd w:id="105"/>
      <w:bookmarkEnd w:id="106"/>
      <w:bookmarkEnd w:id="107"/>
    </w:p>
    <w:p w14:paraId="52B5947B">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5B21B3C9">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032A16F">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64207130">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4DDD785C">
      <w:pPr>
        <w:spacing w:line="400" w:lineRule="exact"/>
        <w:outlineLvl w:val="1"/>
        <w:rPr>
          <w:rFonts w:hint="eastAsia" w:cs="宋体"/>
          <w:b/>
          <w:color w:val="auto"/>
          <w:sz w:val="24"/>
        </w:rPr>
      </w:pPr>
      <w:bookmarkStart w:id="108" w:name="_Toc76373889"/>
      <w:bookmarkStart w:id="109" w:name="_Toc8546"/>
      <w:bookmarkStart w:id="110" w:name="_Toc2900"/>
      <w:bookmarkStart w:id="111" w:name="_Toc30068"/>
      <w:bookmarkStart w:id="112" w:name="_Toc5251"/>
      <w:bookmarkStart w:id="113" w:name="_Toc16925"/>
    </w:p>
    <w:p w14:paraId="4E6C52C8">
      <w:pPr>
        <w:numPr>
          <w:ilvl w:val="0"/>
          <w:numId w:val="0"/>
        </w:numPr>
        <w:spacing w:line="400" w:lineRule="exact"/>
        <w:outlineLvl w:val="1"/>
        <w:rPr>
          <w:rFonts w:hint="eastAsia" w:cs="宋体"/>
          <w:b/>
          <w:color w:val="auto"/>
          <w:sz w:val="24"/>
        </w:rPr>
      </w:pPr>
      <w:bookmarkStart w:id="114" w:name="_Toc13294"/>
      <w:r>
        <w:rPr>
          <w:rFonts w:hint="eastAsia" w:cs="宋体"/>
          <w:b/>
          <w:color w:val="auto"/>
          <w:sz w:val="24"/>
          <w:lang w:eastAsia="zh-CN"/>
        </w:rPr>
        <w:t>三、</w:t>
      </w:r>
      <w:r>
        <w:rPr>
          <w:rFonts w:hint="eastAsia" w:cs="宋体"/>
          <w:b/>
          <w:color w:val="auto"/>
          <w:sz w:val="24"/>
        </w:rPr>
        <w:t>无效竞选条款</w:t>
      </w:r>
      <w:bookmarkEnd w:id="108"/>
      <w:bookmarkEnd w:id="109"/>
      <w:bookmarkEnd w:id="110"/>
      <w:bookmarkEnd w:id="111"/>
      <w:bookmarkEnd w:id="112"/>
      <w:bookmarkEnd w:id="113"/>
      <w:bookmarkEnd w:id="114"/>
    </w:p>
    <w:p w14:paraId="2E4E92AF">
      <w:pPr>
        <w:snapToGrid w:val="0"/>
        <w:spacing w:line="400" w:lineRule="exact"/>
        <w:ind w:firstLine="480" w:firstLineChars="200"/>
        <w:rPr>
          <w:rFonts w:hint="eastAsia" w:ascii="宋体" w:hAnsi="宋体" w:eastAsia="宋体" w:cs="宋体"/>
          <w:color w:val="auto"/>
          <w:sz w:val="24"/>
          <w:szCs w:val="24"/>
        </w:rPr>
      </w:pPr>
      <w:bookmarkStart w:id="115"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5"/>
    </w:p>
    <w:p w14:paraId="185DECC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196EE3A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3B392772">
      <w:pPr>
        <w:spacing w:line="400" w:lineRule="exact"/>
        <w:outlineLvl w:val="1"/>
        <w:rPr>
          <w:rFonts w:hint="eastAsia" w:cs="宋体"/>
          <w:b/>
          <w:color w:val="auto"/>
          <w:sz w:val="24"/>
        </w:rPr>
      </w:pPr>
      <w:bookmarkStart w:id="116" w:name="_Toc20034"/>
      <w:bookmarkStart w:id="117" w:name="_Toc27443"/>
      <w:bookmarkStart w:id="118" w:name="_Toc76373890"/>
      <w:bookmarkStart w:id="119" w:name="_Toc11342"/>
      <w:bookmarkStart w:id="120" w:name="_Toc11654"/>
      <w:bookmarkStart w:id="121" w:name="_Toc26071"/>
      <w:r>
        <w:rPr>
          <w:rFonts w:hint="eastAsia" w:cs="宋体"/>
          <w:b/>
          <w:color w:val="auto"/>
          <w:sz w:val="24"/>
          <w:lang w:eastAsia="zh-CN"/>
        </w:rPr>
        <w:t>四、</w:t>
      </w:r>
      <w:r>
        <w:rPr>
          <w:rFonts w:hint="eastAsia" w:cs="宋体"/>
          <w:b/>
          <w:color w:val="auto"/>
          <w:sz w:val="24"/>
        </w:rPr>
        <w:t>废标条款</w:t>
      </w:r>
      <w:bookmarkEnd w:id="116"/>
      <w:bookmarkEnd w:id="117"/>
      <w:bookmarkEnd w:id="118"/>
      <w:bookmarkEnd w:id="119"/>
      <w:bookmarkEnd w:id="120"/>
      <w:bookmarkEnd w:id="121"/>
    </w:p>
    <w:p w14:paraId="1C1F690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08A1AD9D">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2" w:name="_Toc10547"/>
      <w:bookmarkStart w:id="123" w:name="_Toc27646"/>
      <w:bookmarkStart w:id="124" w:name="_Toc20391"/>
      <w:bookmarkStart w:id="125" w:name="_Toc10864"/>
      <w:bookmarkStart w:id="126" w:name="_Toc76373891"/>
      <w:bookmarkStart w:id="127" w:name="_Toc25199"/>
      <w:r>
        <w:rPr>
          <w:rFonts w:hint="eastAsia" w:ascii="宋体" w:hAnsi="宋体" w:cs="宋体"/>
          <w:b/>
          <w:color w:val="auto"/>
          <w:szCs w:val="36"/>
        </w:rPr>
        <w:t xml:space="preserve">第四篇  </w:t>
      </w:r>
      <w:bookmarkStart w:id="128" w:name="_Toc258354120"/>
      <w:bookmarkStart w:id="129" w:name="_Toc349642178"/>
      <w:r>
        <w:rPr>
          <w:rFonts w:hint="eastAsia" w:ascii="宋体" w:hAnsi="宋体" w:cs="宋体"/>
          <w:b/>
          <w:bCs/>
          <w:color w:val="auto"/>
          <w:kern w:val="36"/>
          <w:sz w:val="32"/>
          <w:szCs w:val="21"/>
        </w:rPr>
        <w:t>中选通知及合同</w:t>
      </w:r>
      <w:bookmarkEnd w:id="128"/>
      <w:bookmarkEnd w:id="129"/>
      <w:r>
        <w:rPr>
          <w:rFonts w:hint="eastAsia" w:ascii="宋体" w:hAnsi="宋体" w:cs="宋体"/>
          <w:b/>
          <w:bCs/>
          <w:color w:val="auto"/>
          <w:kern w:val="36"/>
          <w:sz w:val="32"/>
          <w:szCs w:val="21"/>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30" w:name="_Toc27709"/>
      <w:r>
        <w:rPr>
          <w:rFonts w:hint="eastAsia" w:ascii="宋体" w:hAnsi="宋体" w:cs="宋体"/>
          <w:b/>
          <w:bCs/>
          <w:color w:val="auto"/>
          <w:sz w:val="24"/>
          <w:szCs w:val="24"/>
        </w:rPr>
        <w:t>一</w:t>
      </w:r>
      <w:r>
        <w:rPr>
          <w:rFonts w:hint="eastAsia" w:cs="宋体"/>
          <w:b/>
          <w:color w:val="auto"/>
          <w:sz w:val="24"/>
        </w:rPr>
        <w:t>、中选通知</w:t>
      </w:r>
      <w:bookmarkEnd w:id="130"/>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1" w:name="_Toc29342"/>
      <w:r>
        <w:rPr>
          <w:rFonts w:hint="eastAsia" w:ascii="宋体" w:hAnsi="宋体" w:cs="宋体"/>
          <w:b/>
          <w:bCs/>
          <w:color w:val="auto"/>
          <w:sz w:val="24"/>
          <w:szCs w:val="24"/>
        </w:rPr>
        <w:t>二、</w:t>
      </w:r>
      <w:bookmarkStart w:id="132"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3" w:name="_Toc23535"/>
      <w:r>
        <w:rPr>
          <w:rFonts w:hint="eastAsia" w:ascii="宋体" w:hAnsi="宋体" w:cs="宋体"/>
          <w:b/>
          <w:bCs/>
          <w:color w:val="auto"/>
          <w:sz w:val="24"/>
          <w:szCs w:val="24"/>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4" w:name="_Toc10698"/>
      <w:r>
        <w:rPr>
          <w:rFonts w:hint="eastAsia" w:ascii="宋体" w:hAnsi="宋体" w:cs="宋体"/>
          <w:b/>
          <w:bCs/>
          <w:color w:val="auto"/>
          <w:sz w:val="24"/>
          <w:szCs w:val="24"/>
        </w:rPr>
        <w:t>四、其它</w:t>
      </w:r>
      <w:bookmarkEnd w:id="134"/>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5" w:name="_Toc76373904"/>
      <w:bookmarkStart w:id="136" w:name="_Toc2975"/>
      <w:bookmarkStart w:id="137" w:name="_Toc20762"/>
      <w:bookmarkStart w:id="138" w:name="_Toc19409"/>
      <w:bookmarkStart w:id="139" w:name="_Toc24088"/>
      <w:bookmarkStart w:id="140" w:name="_Toc10152"/>
      <w:r>
        <w:rPr>
          <w:rFonts w:hint="eastAsia" w:ascii="宋体" w:hAnsi="宋体" w:cs="宋体"/>
          <w:b/>
          <w:color w:val="auto"/>
          <w:szCs w:val="36"/>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rPr>
      </w:pPr>
      <w:bookmarkStart w:id="141" w:name="_Toc76373907"/>
      <w:bookmarkStart w:id="142" w:name="_Toc16112"/>
      <w:bookmarkStart w:id="143" w:name="_Toc12863"/>
      <w:bookmarkStart w:id="144" w:name="_Toc11763"/>
      <w:bookmarkStart w:id="145" w:name="_Toc11892"/>
      <w:bookmarkStart w:id="146" w:name="_Toc25920"/>
      <w:bookmarkStart w:id="147" w:name="_Toc7750"/>
      <w:r>
        <w:rPr>
          <w:rFonts w:hint="eastAsia" w:ascii="宋体" w:hAnsi="宋体" w:cs="宋体"/>
          <w:b/>
          <w:color w:val="auto"/>
          <w:sz w:val="32"/>
          <w:szCs w:val="40"/>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rPr>
      </w:pPr>
      <w:bookmarkStart w:id="148"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8"/>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9" w:name="OLE_LINK14"/>
      <w:r>
        <w:rPr>
          <w:rFonts w:hint="eastAsia" w:ascii="宋体" w:hAnsi="宋体" w:eastAsia="宋体" w:cs="宋体"/>
          <w:color w:val="auto"/>
          <w:kern w:val="2"/>
          <w:sz w:val="24"/>
          <w:szCs w:val="24"/>
          <w:lang w:val="en-US" w:eastAsia="zh-CN" w:bidi="ar-SA"/>
        </w:rPr>
        <w:t>如</w:t>
      </w:r>
      <w:bookmarkEnd w:id="149"/>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50"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17664"/>
      <w:r>
        <w:rPr>
          <w:rFonts w:hint="eastAsia" w:ascii="宋体" w:hAnsi="宋体" w:cs="宋体"/>
          <w:b/>
          <w:bCs/>
          <w:color w:val="auto"/>
          <w:sz w:val="24"/>
          <w:szCs w:val="24"/>
        </w:rPr>
        <w:t>四、技术（质量）文件</w:t>
      </w:r>
      <w:bookmarkEnd w:id="151"/>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2" w:name="_Toc4012"/>
      <w:bookmarkStart w:id="153" w:name="_Toc24824"/>
      <w:r>
        <w:rPr>
          <w:rFonts w:hint="eastAsia" w:ascii="宋体" w:hAnsi="宋体" w:cs="宋体"/>
          <w:b/>
          <w:bCs/>
          <w:color w:val="auto"/>
          <w:sz w:val="24"/>
          <w:szCs w:val="24"/>
        </w:rPr>
        <w:t>五、</w:t>
      </w:r>
      <w:bookmarkEnd w:id="152"/>
      <w:r>
        <w:rPr>
          <w:rFonts w:hint="eastAsia" w:ascii="宋体" w:hAnsi="宋体" w:cs="宋体"/>
          <w:b/>
          <w:bCs/>
          <w:color w:val="auto"/>
          <w:sz w:val="24"/>
          <w:szCs w:val="24"/>
        </w:rPr>
        <w:t>商务文件</w:t>
      </w:r>
      <w:bookmarkEnd w:id="153"/>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4" w:name="_Toc6185"/>
      <w:r>
        <w:rPr>
          <w:rFonts w:hint="eastAsia" w:cs="宋体"/>
          <w:b/>
          <w:bCs/>
          <w:color w:val="auto"/>
          <w:sz w:val="24"/>
          <w:szCs w:val="24"/>
        </w:rPr>
        <w:t>六、</w:t>
      </w:r>
      <w:r>
        <w:rPr>
          <w:rFonts w:hint="eastAsia" w:ascii="宋体" w:hAnsi="宋体" w:cs="宋体"/>
          <w:b/>
          <w:bCs/>
          <w:color w:val="auto"/>
          <w:sz w:val="24"/>
          <w:szCs w:val="24"/>
        </w:rPr>
        <w:t>资格文件</w:t>
      </w:r>
      <w:bookmarkEnd w:id="154"/>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5" w:name="_Toc22827"/>
      <w:bookmarkStart w:id="156" w:name="_Toc3094"/>
      <w:bookmarkStart w:id="157" w:name="_Toc10063"/>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5"/>
      <w:bookmarkEnd w:id="156"/>
      <w:bookmarkEnd w:id="157"/>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3B0A26EC">
      <w:pPr>
        <w:pageBreakBefore/>
        <w:spacing w:line="500" w:lineRule="exact"/>
        <w:outlineLvl w:val="1"/>
        <w:rPr>
          <w:rFonts w:hint="eastAsia" w:cs="宋体"/>
          <w:b/>
          <w:color w:val="auto"/>
          <w:szCs w:val="28"/>
        </w:rPr>
      </w:pPr>
      <w:bookmarkStart w:id="158" w:name="_Toc15483"/>
      <w:bookmarkStart w:id="159" w:name="OLE_LINK9"/>
      <w:bookmarkStart w:id="160"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8"/>
    </w:p>
    <w:bookmarkEnd w:id="159"/>
    <w:p w14:paraId="0D411C87">
      <w:pPr>
        <w:pStyle w:val="2"/>
        <w:rPr>
          <w:rFonts w:hint="eastAsia"/>
          <w:color w:val="auto"/>
        </w:rPr>
      </w:pPr>
    </w:p>
    <w:bookmarkEnd w:id="160"/>
    <w:p w14:paraId="69F73966">
      <w:pPr>
        <w:tabs>
          <w:tab w:val="left" w:pos="2895"/>
        </w:tabs>
        <w:spacing w:line="400" w:lineRule="exact"/>
        <w:ind w:firstLine="480" w:firstLineChars="200"/>
        <w:rPr>
          <w:rFonts w:hint="eastAsia" w:ascii="微软雅黑" w:hAnsi="微软雅黑" w:eastAsia="微软雅黑" w:cs="微软雅黑"/>
          <w:color w:val="auto"/>
          <w:sz w:val="24"/>
          <w:szCs w:val="24"/>
        </w:rPr>
      </w:pPr>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1"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1"/>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2" w:name="OLE_LINK5"/>
      <w:r>
        <w:rPr>
          <w:rFonts w:hint="eastAsia" w:ascii="宋体" w:hAnsi="宋体" w:eastAsia="宋体" w:cs="宋体"/>
          <w:b/>
          <w:color w:val="auto"/>
          <w:sz w:val="36"/>
          <w:szCs w:val="36"/>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3"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4" w:name="OLE_LINK11"/>
      <w:r>
        <w:rPr>
          <w:rFonts w:hint="eastAsia" w:ascii="宋体" w:hAnsi="宋体" w:eastAsia="宋体" w:cs="宋体"/>
          <w:color w:val="auto"/>
          <w:kern w:val="2"/>
          <w:sz w:val="24"/>
          <w:szCs w:val="24"/>
          <w:lang w:val="en-US" w:eastAsia="zh-CN" w:bidi="ar-SA"/>
        </w:rPr>
        <w:t>专用设备报价表</w:t>
      </w:r>
      <w:bookmarkEnd w:id="163"/>
      <w:bookmarkEnd w:id="164"/>
      <w:bookmarkStart w:id="165" w:name="OLE_LINK18"/>
      <w:r>
        <w:rPr>
          <w:rFonts w:hint="eastAsia" w:eastAsia="宋体" w:cs="宋体"/>
          <w:color w:val="auto"/>
          <w:kern w:val="2"/>
          <w:sz w:val="24"/>
          <w:szCs w:val="24"/>
          <w:lang w:val="en-US" w:eastAsia="zh-CN" w:bidi="ar-SA"/>
        </w:rPr>
        <w:t>(如有)</w:t>
      </w:r>
    </w:p>
    <w:bookmarkEnd w:id="165"/>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6"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7" w:name="OLE_LINK17"/>
      <w:r>
        <w:rPr>
          <w:rFonts w:hint="eastAsia" w:ascii="宋体" w:hAnsi="宋体" w:eastAsia="宋体" w:cs="宋体"/>
          <w:color w:val="auto"/>
          <w:kern w:val="2"/>
          <w:sz w:val="24"/>
          <w:szCs w:val="24"/>
          <w:lang w:val="en-US" w:eastAsia="zh-CN" w:bidi="ar-SA"/>
        </w:rPr>
        <w:t>耗材专用设备零配件报价表</w:t>
      </w:r>
      <w:bookmarkEnd w:id="167"/>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8" w:name="_Toc21431"/>
      <w:bookmarkStart w:id="169" w:name="_Toc21830"/>
      <w:bookmarkStart w:id="170" w:name="_Toc493178790"/>
      <w:bookmarkStart w:id="171" w:name="_Toc76373909"/>
      <w:bookmarkStart w:id="172" w:name="_Toc27306"/>
      <w:bookmarkStart w:id="173" w:name="_Toc9795"/>
      <w:bookmarkStart w:id="174" w:name="_Toc28644"/>
      <w:bookmarkStart w:id="175" w:name="_Toc23879"/>
      <w:bookmarkStart w:id="176" w:name="OLE_LINK12"/>
      <w:r>
        <w:rPr>
          <w:rFonts w:hint="eastAsia" w:cs="宋体"/>
          <w:b/>
          <w:color w:val="auto"/>
          <w:szCs w:val="28"/>
        </w:rPr>
        <w:t>二、</w:t>
      </w:r>
      <w:bookmarkEnd w:id="168"/>
      <w:bookmarkEnd w:id="169"/>
      <w:bookmarkEnd w:id="170"/>
      <w:bookmarkEnd w:id="171"/>
      <w:bookmarkEnd w:id="172"/>
      <w:bookmarkEnd w:id="173"/>
      <w:r>
        <w:rPr>
          <w:rFonts w:hint="eastAsia" w:cs="宋体"/>
          <w:b/>
          <w:color w:val="auto"/>
          <w:szCs w:val="28"/>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7" w:name="_Toc12647"/>
      <w:bookmarkStart w:id="178" w:name="_Toc16487"/>
      <w:bookmarkStart w:id="179" w:name="_Toc493178791"/>
      <w:bookmarkStart w:id="180" w:name="_Toc76373910"/>
      <w:bookmarkStart w:id="181" w:name="_Toc411"/>
      <w:bookmarkStart w:id="182" w:name="_Toc492721039"/>
      <w:bookmarkStart w:id="183" w:name="_Toc20875"/>
      <w:bookmarkStart w:id="184" w:name="_Toc20258"/>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5" w:name="_Toc26764"/>
      <w:r>
        <w:rPr>
          <w:rFonts w:hint="eastAsia" w:cs="宋体"/>
          <w:b/>
          <w:color w:val="auto"/>
          <w:szCs w:val="28"/>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6" w:name="_Toc20605"/>
      <w:bookmarkStart w:id="187" w:name="_Toc76373912"/>
      <w:bookmarkStart w:id="188" w:name="_Toc19291"/>
      <w:bookmarkStart w:id="189" w:name="_Toc16151"/>
      <w:bookmarkStart w:id="190" w:name="_Toc6217"/>
      <w:bookmarkStart w:id="191" w:name="_Toc8925"/>
      <w:bookmarkStart w:id="192" w:name="_Toc493178793"/>
      <w:bookmarkStart w:id="193" w:name="_Toc4250"/>
      <w:bookmarkStart w:id="194" w:name="_Toc492721038"/>
      <w:r>
        <w:rPr>
          <w:rFonts w:hint="eastAsia" w:cs="宋体"/>
          <w:b/>
          <w:color w:val="auto"/>
          <w:szCs w:val="28"/>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5" w:name="_Toc27718"/>
      <w:r>
        <w:rPr>
          <w:rFonts w:hint="eastAsia" w:ascii="宋体" w:hAnsi="宋体" w:cs="宋体"/>
          <w:color w:val="auto"/>
        </w:rPr>
        <w:br w:type="column"/>
      </w:r>
      <w:r>
        <w:rPr>
          <w:rFonts w:hint="eastAsia" w:cs="宋体"/>
          <w:b/>
          <w:color w:val="auto"/>
          <w:szCs w:val="28"/>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453DE23-8E43-4AB3-9E34-BC905BE39C8C}"/>
  </w:font>
  <w:font w:name="黑体">
    <w:panose1 w:val="02010609060101010101"/>
    <w:charset w:val="86"/>
    <w:family w:val="auto"/>
    <w:pitch w:val="default"/>
    <w:sig w:usb0="800002BF" w:usb1="38CF7CFA" w:usb2="00000016" w:usb3="00000000" w:csb0="00040001" w:csb1="00000000"/>
    <w:embedRegular r:id="rId2" w:fontKey="{A0DE9CAE-0EC9-467C-8761-7D69509C966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234AA155-AE6A-4D63-9548-841EF3C6BA1F}"/>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EFE1D747-88DE-4F90-8CD5-CF8ACE9833B3}"/>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5CD56821-52A3-4FCE-AA30-B5142A5B073B}"/>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5D8727A5-BEB7-4D22-A9F4-41C7B22B163E}"/>
  </w:font>
  <w:font w:name="方正黑体_GBK">
    <w:panose1 w:val="03000509000000000000"/>
    <w:charset w:val="86"/>
    <w:family w:val="script"/>
    <w:pitch w:val="default"/>
    <w:sig w:usb0="00000001" w:usb1="080E0000" w:usb2="00000000" w:usb3="00000000" w:csb0="00040000" w:csb1="00000000"/>
    <w:embedRegular r:id="rId7" w:fontKey="{3E57D8AA-0A20-42C5-8810-997CE172DDBC}"/>
  </w:font>
  <w:font w:name="方正小标宋_GBK">
    <w:panose1 w:val="03000509000000000000"/>
    <w:charset w:val="86"/>
    <w:family w:val="script"/>
    <w:pitch w:val="default"/>
    <w:sig w:usb0="00000001" w:usb1="080E0000" w:usb2="00000000" w:usb3="00000000" w:csb0="00040000" w:csb1="00000000"/>
    <w:embedRegular r:id="rId8" w:fontKey="{27318222-D1C7-48E7-A2D1-9F636787B866}"/>
  </w:font>
  <w:font w:name="微软雅黑">
    <w:panose1 w:val="020B0503020204020204"/>
    <w:charset w:val="86"/>
    <w:family w:val="swiss"/>
    <w:pitch w:val="default"/>
    <w:sig w:usb0="80000287" w:usb1="2ACF3C50" w:usb2="00000016" w:usb3="00000000" w:csb0="0004001F" w:csb1="00000000"/>
    <w:embedRegular r:id="rId9" w:fontKey="{786DD142-9D72-41C7-A6C3-8CFDD2B839E1}"/>
  </w:font>
  <w:font w:name="仿宋">
    <w:panose1 w:val="02010609060101010101"/>
    <w:charset w:val="86"/>
    <w:family w:val="modern"/>
    <w:pitch w:val="default"/>
    <w:sig w:usb0="800002BF" w:usb1="38CF7CFA" w:usb2="00000016" w:usb3="00000000" w:csb0="00040001" w:csb1="00000000"/>
    <w:embedRegular r:id="rId10" w:fontKey="{DE2773B1-A892-403B-BA70-9ED82EC6D311}"/>
  </w:font>
  <w:font w:name="WPSEMBED8">
    <w:panose1 w:val="03000509000000000000"/>
    <w:charset w:val="86"/>
    <w:family w:val="auto"/>
    <w:pitch w:val="default"/>
    <w:sig w:usb0="00000001" w:usb1="080E0000" w:usb2="00000000" w:usb3="00000000" w:csb0="00040000" w:csb1="00000000"/>
  </w:font>
  <w:font w:name="WPSEMBED9">
    <w:panose1 w:val="03000509000000000000"/>
    <w:charset w:val="86"/>
    <w:family w:val="auto"/>
    <w:pitch w:val="default"/>
    <w:sig w:usb0="00000001" w:usb1="080E0000" w:usb2="00000000" w:usb3="00000000" w:csb0="00040000" w:csb1="00000000"/>
  </w:font>
  <w:font w:name="WPSEMBED6">
    <w:panose1 w:val="02010609030101010101"/>
    <w:charset w:val="86"/>
    <w:family w:val="auto"/>
    <w:pitch w:val="default"/>
    <w:sig w:usb0="00000001" w:usb1="080E0000" w:usb2="00000000" w:usb3="00000000" w:csb0="00040000" w:csb1="00000000"/>
  </w:font>
  <w:font w:name="WPSEMBED10">
    <w:panose1 w:val="03000509000000000000"/>
    <w:charset w:val="86"/>
    <w:family w:val="auto"/>
    <w:pitch w:val="default"/>
    <w:sig w:usb0="00000001" w:usb1="080E0000" w:usb2="00000000" w:usb3="00000000" w:csb0="00040000" w:csb1="00000000"/>
  </w:font>
  <w:font w:name="WPSEMBED7">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7CF"/>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B67A7"/>
    <w:rsid w:val="02FE20CD"/>
    <w:rsid w:val="032312D4"/>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825E9"/>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264F34"/>
    <w:rsid w:val="0A79472F"/>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8B1EE6"/>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40186"/>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7C2A8F"/>
    <w:rsid w:val="229A1929"/>
    <w:rsid w:val="22C2179C"/>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B4266"/>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391C87"/>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351F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471D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3D22636"/>
    <w:rsid w:val="34201B1F"/>
    <w:rsid w:val="34500549"/>
    <w:rsid w:val="34620C63"/>
    <w:rsid w:val="34780FBD"/>
    <w:rsid w:val="349E4F00"/>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BF6165"/>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7B2946"/>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501E2A3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6F4DF0"/>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6671F9"/>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A2D9C"/>
    <w:rsid w:val="5E1D4C3B"/>
    <w:rsid w:val="5E3C5408"/>
    <w:rsid w:val="5E410EE7"/>
    <w:rsid w:val="5E4A5266"/>
    <w:rsid w:val="5E79028D"/>
    <w:rsid w:val="5E79352B"/>
    <w:rsid w:val="5EBC2507"/>
    <w:rsid w:val="5ED45FB3"/>
    <w:rsid w:val="5ED5716B"/>
    <w:rsid w:val="5EF157B7"/>
    <w:rsid w:val="5F074FDA"/>
    <w:rsid w:val="5F253C57"/>
    <w:rsid w:val="5F2C33BA"/>
    <w:rsid w:val="5F4C6348"/>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120E0"/>
    <w:rsid w:val="68EE53C3"/>
    <w:rsid w:val="690D6222"/>
    <w:rsid w:val="6910701A"/>
    <w:rsid w:val="691B4A3D"/>
    <w:rsid w:val="69286279"/>
    <w:rsid w:val="69485746"/>
    <w:rsid w:val="695B4D2F"/>
    <w:rsid w:val="695B664F"/>
    <w:rsid w:val="69B566C5"/>
    <w:rsid w:val="69B739BE"/>
    <w:rsid w:val="69BE1080"/>
    <w:rsid w:val="69F525FF"/>
    <w:rsid w:val="6A2C25CE"/>
    <w:rsid w:val="6A340CE3"/>
    <w:rsid w:val="6A4073A3"/>
    <w:rsid w:val="6A464C09"/>
    <w:rsid w:val="6A6662F1"/>
    <w:rsid w:val="6A703F54"/>
    <w:rsid w:val="6A814E63"/>
    <w:rsid w:val="6A843983"/>
    <w:rsid w:val="6A8C759C"/>
    <w:rsid w:val="6A8F3072"/>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AE175A"/>
    <w:rsid w:val="70B12840"/>
    <w:rsid w:val="70C154D4"/>
    <w:rsid w:val="70D2369A"/>
    <w:rsid w:val="70D53553"/>
    <w:rsid w:val="70E138DD"/>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5B3AC5"/>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81A62"/>
    <w:rsid w:val="7FAB25EE"/>
    <w:rsid w:val="7FF61FAC"/>
    <w:rsid w:val="7FFF7B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3913</Words>
  <Characters>4335</Characters>
  <Lines>101</Lines>
  <Paragraphs>28</Paragraphs>
  <TotalTime>8</TotalTime>
  <ScaleCrop>false</ScaleCrop>
  <LinksUpToDate>false</LinksUpToDate>
  <CharactersWithSpaces>4478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啦啦。</cp:lastModifiedBy>
  <cp:lastPrinted>2025-05-22T03:57:00Z</cp:lastPrinted>
  <dcterms:modified xsi:type="dcterms:W3CDTF">2026-07-16T02:52:51Z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eyJoZGlkIjoiMWUzYjA0ZmY3MTdkZjY4M2IzMGZkN2YyMjY2MjQ3NWEiLCJ1c2VySWQiOiIzNzExMDc3MzYifQ==</vt:lpwstr>
  </property>
</Properties>
</file>