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bookmarkStart w:id="192" w:name="_GoBack"/>
      <w:bookmarkEnd w:id="192"/>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76373863"/>
      <w:bookmarkStart w:id="2" w:name="_Toc10059"/>
      <w:bookmarkStart w:id="3" w:name="_Toc13868"/>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28264"/>
      <w:bookmarkStart w:id="9" w:name="_Toc5909"/>
      <w:bookmarkStart w:id="10" w:name="_Toc22435"/>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eastAsia="宋体" w:cs="宋体"/>
          <w:sz w:val="22"/>
          <w:szCs w:val="22"/>
          <w:vertAlign w:val="baseline"/>
          <w:lang w:val="en-US" w:eastAsia="zh-CN"/>
        </w:rPr>
        <w:t>卫生湿巾</w:t>
      </w:r>
      <w:r>
        <w:rPr>
          <w:rFonts w:hint="eastAsia" w:ascii="宋体" w:hAnsi="宋体" w:cs="宋体"/>
          <w:sz w:val="22"/>
          <w:szCs w:val="22"/>
          <w:vertAlign w:val="baseline"/>
          <w:lang w:val="en-US" w:eastAsia="zh-CN"/>
        </w:rPr>
        <w:t>、</w:t>
      </w:r>
      <w:r>
        <w:rPr>
          <w:rFonts w:hint="eastAsia" w:ascii="宋体" w:hAnsi="宋体" w:eastAsia="宋体" w:cs="宋体"/>
          <w:i w:val="0"/>
          <w:iCs w:val="0"/>
          <w:color w:val="000000"/>
          <w:kern w:val="0"/>
          <w:sz w:val="22"/>
          <w:szCs w:val="22"/>
          <w:u w:val="none"/>
          <w:lang w:val="en-US" w:eastAsia="zh-CN" w:bidi="ar"/>
        </w:rPr>
        <w:t>中心静脉导管套件</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76373865"/>
            <w:bookmarkStart w:id="16" w:name="_Toc22707"/>
            <w:bookmarkStart w:id="17" w:name="_Toc18060"/>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shd w:val="clear" w:color="auto" w:fill="auto"/>
            <w:noWrap w:val="0"/>
            <w:vAlign w:val="center"/>
          </w:tcPr>
          <w:p w14:paraId="0A399A3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sz w:val="22"/>
                <w:szCs w:val="22"/>
                <w:vertAlign w:val="baseline"/>
                <w:lang w:val="en-US" w:eastAsia="zh-CN"/>
              </w:rPr>
              <w:t>卫生湿巾</w:t>
            </w:r>
          </w:p>
        </w:tc>
        <w:tc>
          <w:tcPr>
            <w:tcW w:w="1485" w:type="dxa"/>
            <w:shd w:val="clear" w:color="auto" w:fill="auto"/>
            <w:noWrap w:val="0"/>
            <w:vAlign w:val="center"/>
          </w:tcPr>
          <w:p w14:paraId="4FB0110B">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按实结算</w:t>
            </w:r>
          </w:p>
        </w:tc>
        <w:tc>
          <w:tcPr>
            <w:tcW w:w="1594" w:type="dxa"/>
            <w:shd w:val="clear" w:color="auto" w:fill="auto"/>
            <w:noWrap w:val="0"/>
            <w:vAlign w:val="center"/>
          </w:tcPr>
          <w:p w14:paraId="3CC22964">
            <w:pPr>
              <w:pStyle w:val="52"/>
              <w:spacing w:before="120" w:beforeLines="50" w:beforeAutospacing="0" w:after="0" w:afterAutospacing="0" w:line="400" w:lineRule="exact"/>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46E1E18E">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肾内科、呼吸内科、耳鼻喉科和重症医学科</w:t>
            </w:r>
          </w:p>
        </w:tc>
      </w:tr>
      <w:tr w14:paraId="5334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0988D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6C8B3BA2">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000000"/>
                <w:kern w:val="0"/>
                <w:sz w:val="22"/>
                <w:szCs w:val="22"/>
                <w:u w:val="none"/>
                <w:lang w:val="en-US" w:eastAsia="zh-CN" w:bidi="ar"/>
              </w:rPr>
              <w:t>中心静脉导管套件</w:t>
            </w:r>
          </w:p>
        </w:tc>
        <w:tc>
          <w:tcPr>
            <w:tcW w:w="1485" w:type="dxa"/>
            <w:shd w:val="clear" w:color="auto" w:fill="auto"/>
            <w:noWrap w:val="0"/>
            <w:vAlign w:val="center"/>
          </w:tcPr>
          <w:p w14:paraId="161A0035">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按实结算</w:t>
            </w:r>
          </w:p>
        </w:tc>
        <w:tc>
          <w:tcPr>
            <w:tcW w:w="1594" w:type="dxa"/>
            <w:shd w:val="clear" w:color="auto" w:fill="auto"/>
            <w:noWrap w:val="0"/>
            <w:vAlign w:val="center"/>
          </w:tcPr>
          <w:p w14:paraId="16EC220C">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7A7B3B98">
            <w:pPr>
              <w:widowControl/>
              <w:spacing w:line="400" w:lineRule="exact"/>
              <w:jc w:val="center"/>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肾内科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w:t>
      </w:r>
      <w:r>
        <w:rPr>
          <w:rFonts w:hint="eastAsia" w:ascii="宋体" w:hAnsi="宋体" w:cs="宋体"/>
          <w:color w:val="auto"/>
          <w:sz w:val="24"/>
          <w:szCs w:val="24"/>
          <w:lang w:eastAsia="zh-CN"/>
        </w:rPr>
        <w:t>该项目支持按照</w:t>
      </w:r>
      <w:r>
        <w:rPr>
          <w:rFonts w:hint="eastAsia" w:ascii="宋体" w:hAnsi="宋体" w:cs="宋体"/>
          <w:color w:val="auto"/>
          <w:sz w:val="24"/>
          <w:szCs w:val="24"/>
          <w:lang w:val="en-US" w:eastAsia="zh-CN"/>
        </w:rPr>
        <w:t>以上</w:t>
      </w:r>
      <w:r>
        <w:rPr>
          <w:rFonts w:hint="eastAsia" w:ascii="宋体" w:hAnsi="宋体" w:cs="宋体"/>
          <w:color w:val="auto"/>
          <w:sz w:val="24"/>
          <w:szCs w:val="24"/>
          <w:lang w:eastAsia="zh-CN"/>
        </w:rPr>
        <w:t>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434"/>
      <w:bookmarkStart w:id="20" w:name="_Toc26504"/>
      <w:bookmarkStart w:id="21" w:name="_Toc10137"/>
      <w:bookmarkStart w:id="22" w:name="_Toc76373866"/>
      <w:bookmarkStart w:id="23" w:name="_Toc25496"/>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肾内科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肾内科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肾内科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肾内科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4033"/>
      <w:bookmarkStart w:id="41" w:name="_Toc76373872"/>
      <w:bookmarkStart w:id="42" w:name="_Toc9714"/>
      <w:bookmarkStart w:id="43" w:name="_Toc252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13391"/>
      <w:bookmarkStart w:id="49" w:name="_Toc3153"/>
      <w:bookmarkStart w:id="50" w:name="_Toc11474"/>
      <w:bookmarkStart w:id="51" w:name="_Toc76373874"/>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76373876"/>
      <w:bookmarkStart w:id="56" w:name="_Toc29620"/>
      <w:bookmarkStart w:id="57" w:name="_Toc6355"/>
      <w:bookmarkStart w:id="58" w:name="_Toc30465"/>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B3E4AF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功能简介：适用于医院内部环境物体表面的日常清洁杀菌。</w:t>
      </w:r>
    </w:p>
    <w:p w14:paraId="3ACB8DA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1.主要成分及含量：复合双链季铵盐成分有效浓度不低于0.4%，不含醇。有效杀菌率≥99.9%；含有表面活性剂，清洁消毒一步到位。</w:t>
      </w:r>
    </w:p>
    <w:p w14:paraId="29E08C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2.液体与载体重量比值≥1.7。</w:t>
      </w:r>
    </w:p>
    <w:p w14:paraId="75AAB3E3">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3.产品需达到中水平消毒级别，需提供包括但不限于分枝杆菌、脊髓灰质炎病毒的杀菌效果报告。</w:t>
      </w:r>
    </w:p>
    <w:p w14:paraId="478D5BC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4.产品能灭杀医院常见的病菌及物体表面自然菌，包含但不限于多重耐药菌、大肠杆菌、金黄色葡萄球菌、甲乙丙肝病毒等。（提供杀菌检测报告）。</w:t>
      </w:r>
    </w:p>
    <w:p w14:paraId="1712BC64">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5.根据科室不同应用场景，产品可提供大、小两种规格：尺寸一：大于18*25cm、尺寸二：大于15*18cm。</w:t>
      </w:r>
    </w:p>
    <w:p w14:paraId="4B07B69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6.产品效期不低于2年。产品开启后使用期限可达60天（包装需具备密封设计）</w:t>
      </w:r>
    </w:p>
    <w:p w14:paraId="4EF669D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7.对皮肤无刺激性（需提供国家相关机构认证的多次皮肤刺激性测试）。</w:t>
      </w:r>
    </w:p>
    <w:p w14:paraId="0782A8C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8.产品对精密医疗设备（如血透机、B超探头、除颤仪）具有兼容性，适用于这些仪器设备的清洁与消毒，且长期使用不会产生腐蚀性。</w:t>
      </w:r>
    </w:p>
    <w:p w14:paraId="659A536A">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9.需配套湿巾装盛装置：如湿巾盒子、挂篮等。</w:t>
      </w:r>
    </w:p>
    <w:p w14:paraId="060267E6">
      <w:pPr>
        <w:pStyle w:val="31"/>
        <w:rPr>
          <w:rFonts w:hint="default"/>
          <w:lang w:val="en-US" w:eastAsia="zh-CN"/>
        </w:rPr>
      </w:pPr>
    </w:p>
    <w:p w14:paraId="0A9BBB9C">
      <w:pPr>
        <w:spacing w:line="320" w:lineRule="exact"/>
        <w:ind w:left="479" w:leftChars="85" w:hanging="241"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6A6FC09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1.适用于血液透析、血浆置换和液体输注。</w:t>
      </w:r>
    </w:p>
    <w:p w14:paraId="6E00241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2.导管应具有对称式管尖结构，无论正接反接，再循环率≤5%。</w:t>
      </w:r>
    </w:p>
    <w:p w14:paraId="3CE8B80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3.具备防血栓形成的流道结构，可通过激光切槽或其他等效技术实现。</w:t>
      </w:r>
    </w:p>
    <w:p w14:paraId="4BE22B67">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4.管身材质为医用级聚氨酯。</w:t>
      </w:r>
    </w:p>
    <w:p w14:paraId="725B00CF">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5.提供多种长度规格，包含但不限于19cm、23cm等，最高血流量≥300ml/min。</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6.有显影标记，可在X射线下显示导管位置</w:t>
      </w:r>
      <w:r>
        <w:rPr>
          <w:rFonts w:hint="eastAsia" w:ascii="Times New Roman" w:hAnsi="Times New Roman" w:cs="Times New Roman"/>
          <w:b w:val="0"/>
          <w:bCs w:val="0"/>
          <w:color w:val="auto"/>
          <w:sz w:val="24"/>
          <w:szCs w:val="24"/>
          <w:lang w:val="en-US" w:eastAsia="zh-CN"/>
        </w:rPr>
        <w:t>。</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072"/>
      <w:bookmarkStart w:id="63" w:name="_Toc31843"/>
      <w:bookmarkStart w:id="64" w:name="_Toc7794"/>
      <w:bookmarkStart w:id="65" w:name="_Toc76373878"/>
      <w:bookmarkStart w:id="66" w:name="_Toc17524"/>
      <w:bookmarkStart w:id="67" w:name="_Toc24122"/>
      <w:bookmarkStart w:id="68" w:name="_Toc1768"/>
      <w:bookmarkStart w:id="69" w:name="_Toc4791"/>
      <w:bookmarkStart w:id="70" w:name="_Toc17944"/>
      <w:bookmarkStart w:id="71" w:name="_Toc15650"/>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29836"/>
      <w:bookmarkStart w:id="75" w:name="_Toc76373879"/>
      <w:bookmarkStart w:id="76" w:name="_Toc22561"/>
      <w:bookmarkStart w:id="77" w:name="_Toc30551"/>
      <w:bookmarkStart w:id="78" w:name="_Toc9339"/>
      <w:bookmarkStart w:id="79" w:name="_Toc1431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7737"/>
      <w:bookmarkStart w:id="84" w:name="_Toc27893"/>
      <w:bookmarkStart w:id="85" w:name="_Toc20263"/>
      <w:bookmarkStart w:id="86" w:name="_Toc2258"/>
      <w:bookmarkStart w:id="87" w:name="_Toc76373885"/>
      <w:bookmarkStart w:id="88" w:name="_Toc12384"/>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23699"/>
      <w:bookmarkStart w:id="92" w:name="_Toc11052"/>
      <w:bookmarkStart w:id="93" w:name="_Toc7115"/>
      <w:bookmarkStart w:id="94" w:name="_Toc12712"/>
      <w:bookmarkStart w:id="95" w:name="_Toc76373886"/>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3585"/>
      <w:bookmarkStart w:id="98" w:name="_Toc9147"/>
      <w:bookmarkStart w:id="99" w:name="_Toc31293"/>
      <w:bookmarkStart w:id="100" w:name="_Toc19809"/>
      <w:bookmarkStart w:id="101" w:name="_Toc5535"/>
      <w:bookmarkStart w:id="102" w:name="_Toc26754"/>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16925"/>
      <w:bookmarkStart w:id="106" w:name="_Toc8546"/>
      <w:bookmarkStart w:id="107" w:name="_Toc76373889"/>
      <w:bookmarkStart w:id="108" w:name="_Toc2900"/>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76373890"/>
      <w:bookmarkStart w:id="113" w:name="_Toc11342"/>
      <w:bookmarkStart w:id="114" w:name="_Toc26071"/>
      <w:bookmarkStart w:id="115" w:name="_Toc20034"/>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0391"/>
      <w:bookmarkStart w:id="121" w:name="_Toc10864"/>
      <w:bookmarkStart w:id="122" w:name="_Toc25199"/>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9409"/>
      <w:bookmarkStart w:id="132" w:name="_Toc20762"/>
      <w:bookmarkStart w:id="133" w:name="_Toc10152"/>
      <w:bookmarkStart w:id="134" w:name="_Toc2975"/>
      <w:bookmarkStart w:id="135" w:name="_Toc76373904"/>
      <w:bookmarkStart w:id="136" w:name="_Toc24088"/>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750"/>
      <w:bookmarkStart w:id="138" w:name="_Toc76373907"/>
      <w:bookmarkStart w:id="139" w:name="_Toc16112"/>
      <w:bookmarkStart w:id="140" w:name="_Toc12863"/>
      <w:bookmarkStart w:id="141" w:name="_Toc25920"/>
      <w:bookmarkStart w:id="142" w:name="_Toc11763"/>
      <w:bookmarkStart w:id="143" w:name="_Toc11892"/>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22827"/>
      <w:bookmarkStart w:id="153"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27306"/>
      <w:bookmarkStart w:id="166" w:name="_Toc493178790"/>
      <w:bookmarkStart w:id="167" w:name="_Toc21431"/>
      <w:bookmarkStart w:id="168" w:name="_Toc76373909"/>
      <w:bookmarkStart w:id="169" w:name="_Toc2183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92721039"/>
      <w:bookmarkStart w:id="175" w:name="_Toc12647"/>
      <w:bookmarkStart w:id="176" w:name="_Toc493178791"/>
      <w:bookmarkStart w:id="177" w:name="_Toc76373910"/>
      <w:bookmarkStart w:id="178" w:name="_Toc411"/>
      <w:bookmarkStart w:id="179" w:name="_Toc16487"/>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250"/>
      <w:bookmarkStart w:id="183" w:name="_Toc493178793"/>
      <w:bookmarkStart w:id="184" w:name="_Toc6217"/>
      <w:bookmarkStart w:id="185" w:name="_Toc20605"/>
      <w:bookmarkStart w:id="186" w:name="_Toc19291"/>
      <w:bookmarkStart w:id="187" w:name="_Toc8925"/>
      <w:bookmarkStart w:id="188" w:name="_Toc16151"/>
      <w:bookmarkStart w:id="189" w:name="_Toc76373912"/>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51DE61-9283-482A-971C-D02607727BB8}"/>
  </w:font>
  <w:font w:name="黑体">
    <w:panose1 w:val="02010609060101010101"/>
    <w:charset w:val="86"/>
    <w:family w:val="auto"/>
    <w:pitch w:val="default"/>
    <w:sig w:usb0="800002BF" w:usb1="38CF7CFA" w:usb2="00000016" w:usb3="00000000" w:csb0="00040001" w:csb1="00000000"/>
    <w:embedRegular r:id="rId2" w:fontKey="{BED8D0C2-63DC-49C4-B882-84DE098964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2171C640-8FEE-4886-B092-451FB9827FF6}"/>
  </w:font>
  <w:font w:name="Arial Unicode MS">
    <w:panose1 w:val="020B0604020202020204"/>
    <w:charset w:val="86"/>
    <w:family w:val="roman"/>
    <w:pitch w:val="default"/>
    <w:sig w:usb0="FFFFFFFF" w:usb1="E9FFFFFF" w:usb2="0000003F" w:usb3="00000000" w:csb0="603F01FF" w:csb1="FFFF0000"/>
    <w:embedRegular r:id="rId4" w:fontKey="{52F3AEF6-9CAA-4ED3-B9A4-EF2FE8650EE0}"/>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DED8A8D0-95E8-4084-BFB8-012B1CA4BEBE}"/>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00000001" w:usb1="080E0000" w:usb2="00000000" w:usb3="00000000" w:csb0="00040000" w:csb1="00000000"/>
    <w:embedRegular r:id="rId6" w:fontKey="{888AD01D-8381-4FF1-93D9-CA3A367DA005}"/>
  </w:font>
  <w:font w:name="方正黑体_GBK">
    <w:panose1 w:val="03000509000000000000"/>
    <w:charset w:val="86"/>
    <w:family w:val="script"/>
    <w:pitch w:val="default"/>
    <w:sig w:usb0="00000001" w:usb1="080E0000" w:usb2="00000000" w:usb3="00000000" w:csb0="00040000" w:csb1="00000000"/>
    <w:embedRegular r:id="rId7" w:fontKey="{1ABFBFD7-2D7C-4938-BDE6-3667290537B2}"/>
  </w:font>
  <w:font w:name="方正小标宋_GBK">
    <w:panose1 w:val="02000000000000000000"/>
    <w:charset w:val="86"/>
    <w:family w:val="script"/>
    <w:pitch w:val="default"/>
    <w:sig w:usb0="00000001" w:usb1="080E0000" w:usb2="00000000" w:usb3="00000000" w:csb0="00040000" w:csb1="00000000"/>
    <w:embedRegular r:id="rId8" w:fontKey="{1A7FD5BB-19A3-42D9-B02B-2ABB423F227E}"/>
  </w:font>
  <w:font w:name="微软雅黑">
    <w:panose1 w:val="020B0503020204020204"/>
    <w:charset w:val="86"/>
    <w:family w:val="swiss"/>
    <w:pitch w:val="default"/>
    <w:sig w:usb0="80000287" w:usb1="2ACF3C50" w:usb2="00000016" w:usb3="00000000" w:csb0="0004001F" w:csb1="00000000"/>
    <w:embedRegular r:id="rId9" w:fontKey="{F486B620-518E-45A8-BB97-93B450BF61D0}"/>
  </w:font>
  <w:font w:name="仿宋">
    <w:panose1 w:val="02010609060101010101"/>
    <w:charset w:val="86"/>
    <w:family w:val="modern"/>
    <w:pitch w:val="default"/>
    <w:sig w:usb0="800002BF" w:usb1="38CF7CFA" w:usb2="00000016" w:usb3="00000000" w:csb0="00040001" w:csb1="00000000"/>
    <w:embedRegular r:id="rId10" w:fontKey="{0A09BB3D-F975-4C71-AE3E-FCA753A5977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7C6F7C"/>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6C538C"/>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8936EB"/>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6872</Words>
  <Characters>7060</Characters>
  <Lines>101</Lines>
  <Paragraphs>28</Paragraphs>
  <TotalTime>0</TotalTime>
  <ScaleCrop>false</ScaleCrop>
  <LinksUpToDate>false</LinksUpToDate>
  <CharactersWithSpaces>7764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2026-08-04T10:10:30Z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2B91B7BBEEE249DE9D36FB4E3CC8141E_13</vt:lpwstr>
  </property>
  <property fmtid="{D5CDD505-2E9C-101B-9397-08002B2CF9AE}" pid="4" name="KSOTemplateDocerSaveRecord">
    <vt:lpwstr>eyJoZGlkIjoiMzc1OGNlMDJlMzRlMzMzYmE1ZjU3MzU3ZjgyMjI5MWIiLCJ1c2VySWQiOiIxMjgyNDcwNjU2In0=</vt:lpwstr>
  </property>
</Properties>
</file>