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962"/>
        <w:gridCol w:w="5872"/>
        <w:gridCol w:w="733"/>
      </w:tblGrid>
      <w:tr w14:paraId="1C1DD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7316AFA8">
            <w:pPr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962" w:type="dxa"/>
            <w:vAlign w:val="center"/>
          </w:tcPr>
          <w:p w14:paraId="75C21EE1">
            <w:pPr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5872" w:type="dxa"/>
            <w:vAlign w:val="center"/>
          </w:tcPr>
          <w:p w14:paraId="03AE5FFC">
            <w:pPr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技术参数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 w:themeColor="text1"/>
                <w:kern w:val="0"/>
                <w:szCs w:val="21"/>
              </w:rPr>
              <w:t>及</w:t>
            </w:r>
            <w:r>
              <w:rPr>
                <w:rFonts w:ascii="微软雅黑" w:hAnsi="微软雅黑" w:eastAsia="微软雅黑" w:cs="宋体"/>
                <w:b/>
                <w:bCs/>
                <w:color w:val="000000" w:themeColor="text1"/>
                <w:kern w:val="0"/>
                <w:szCs w:val="21"/>
              </w:rPr>
              <w:t>要求</w:t>
            </w:r>
          </w:p>
        </w:tc>
        <w:tc>
          <w:tcPr>
            <w:tcW w:w="733" w:type="dxa"/>
            <w:vAlign w:val="center"/>
          </w:tcPr>
          <w:p w14:paraId="5E831C98">
            <w:pPr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Cs w:val="21"/>
              </w:rPr>
              <w:t>备注</w:t>
            </w:r>
          </w:p>
        </w:tc>
      </w:tr>
      <w:tr w14:paraId="2803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76B994B7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62" w:type="dxa"/>
            <w:vAlign w:val="center"/>
          </w:tcPr>
          <w:p w14:paraId="2AE66E89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</w:rPr>
              <w:t>支持操作系统</w:t>
            </w:r>
          </w:p>
        </w:tc>
        <w:tc>
          <w:tcPr>
            <w:tcW w:w="5872" w:type="dxa"/>
            <w:vAlign w:val="center"/>
          </w:tcPr>
          <w:p w14:paraId="39FE231B">
            <w:pPr>
              <w:spacing w:line="460" w:lineRule="exac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</w:rPr>
              <w:t xml:space="preserve">Microsoft® Windows® 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</w:rPr>
              <w:t xml:space="preserve"> Professional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zh-TW"/>
              </w:rPr>
              <w:t>64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en-US" w:eastAsia="zh-CN"/>
              </w:rPr>
              <w:t>位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zh-TW"/>
              </w:rPr>
              <w:t>及以上的操作系统</w:t>
            </w:r>
          </w:p>
        </w:tc>
        <w:tc>
          <w:tcPr>
            <w:tcW w:w="733" w:type="dxa"/>
          </w:tcPr>
          <w:p w14:paraId="1543E213">
            <w:pPr>
              <w:spacing w:line="460" w:lineRule="exact"/>
              <w:rPr>
                <w:rFonts w:hint="eastAsia" w:ascii="仿宋" w:hAnsi="仿宋" w:eastAsia="仿宋" w:cs="仿宋"/>
                <w:color w:val="FF0000"/>
                <w:sz w:val="22"/>
                <w:lang w:bidi="en-US"/>
              </w:rPr>
            </w:pPr>
          </w:p>
        </w:tc>
      </w:tr>
      <w:tr w14:paraId="41B38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5AE51EA8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62" w:type="dxa"/>
            <w:vAlign w:val="center"/>
          </w:tcPr>
          <w:p w14:paraId="362E6EBC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显示器</w:t>
            </w:r>
          </w:p>
        </w:tc>
        <w:tc>
          <w:tcPr>
            <w:tcW w:w="5872" w:type="dxa"/>
            <w:vAlign w:val="center"/>
          </w:tcPr>
          <w:p w14:paraId="2C2C3A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1" w:after="0" w:afterAutospacing="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21.5 英寸，分辨率≥1920×1080，IPS 面板，刷新率≥60Hz，亮度≥250cd/㎡，静态对比度≥1000:1，响应时间≤10ms，具备 TÜV 莱茵或 CVC 威凯蓝光认证，支持俯仰调节。</w:t>
            </w:r>
          </w:p>
          <w:p w14:paraId="329B4D7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1" w:after="0" w:afterAutospacing="1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24 英寸，分辨率≥1920×1080，IPS 面板，刷新率≥60Hz，亮度≥250cd/㎡，静态对比度≥1000:1，响应时间≤10ms，具备 TÜV 莱茵或 CVC 威凯蓝光认证，支持俯仰调节。</w:t>
            </w:r>
          </w:p>
          <w:p w14:paraId="6EF9D72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1" w:after="0" w:afterAutospacing="1"/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上述两种规格均纳入采购范围，成交供应商须可同时供应两种尺寸产品，根据科室申报需求按需交付。</w:t>
            </w:r>
          </w:p>
        </w:tc>
        <w:tc>
          <w:tcPr>
            <w:tcW w:w="733" w:type="dxa"/>
          </w:tcPr>
          <w:p w14:paraId="5807CEDE">
            <w:pPr>
              <w:spacing w:line="460" w:lineRule="exact"/>
              <w:rPr>
                <w:rFonts w:hint="eastAsia" w:ascii="仿宋" w:hAnsi="仿宋" w:eastAsia="仿宋" w:cs="仿宋"/>
                <w:sz w:val="22"/>
                <w:lang w:bidi="en-US"/>
              </w:rPr>
            </w:pPr>
          </w:p>
        </w:tc>
      </w:tr>
      <w:tr w14:paraId="40D3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2" w:hRule="atLeast"/>
          <w:jc w:val="center"/>
        </w:trPr>
        <w:tc>
          <w:tcPr>
            <w:tcW w:w="729" w:type="dxa"/>
            <w:vAlign w:val="center"/>
          </w:tcPr>
          <w:p w14:paraId="3E632A1D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962" w:type="dxa"/>
            <w:vAlign w:val="center"/>
          </w:tcPr>
          <w:p w14:paraId="63E76EDD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推车工作台面</w:t>
            </w:r>
          </w:p>
        </w:tc>
        <w:tc>
          <w:tcPr>
            <w:tcW w:w="5872" w:type="dxa"/>
            <w:vAlign w:val="center"/>
          </w:tcPr>
          <w:p w14:paraId="70BD45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1" w:after="0" w:afterAutospacing="1"/>
              <w:ind w:firstLine="420" w:firstLineChars="200"/>
              <w:jc w:val="left"/>
              <w:rPr>
                <w:rFonts w:hint="eastAsia" w:ascii="仿宋" w:hAnsi="仿宋" w:eastAsia="仿宋" w:cs="仿宋"/>
                <w:sz w:val="21"/>
                <w:szCs w:val="21"/>
                <w:lang w:bidi="en-US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台面主体采用医用级易清洁材质，表面平整无接缝、无卫生死角，耐受常规医用消毒剂腐蚀；支持根据临床实际需求定制附属配置，包含但不限于台面下方加装储物抽屉、台面两侧加装医用挂钩与污物垃圾桶固定装置、车体侧方增设辅助操作托盘；所有定制配件需与车体稳固装配，推行无松动异响，边角做圆角防撞处理，表面工艺与车体一致，符合医疗环境院感清洁要求；定制方案由甲方在合同签订后 3 个工作日内确认，相关费用包含在总报价中，不另行收取。</w:t>
            </w:r>
          </w:p>
        </w:tc>
        <w:tc>
          <w:tcPr>
            <w:tcW w:w="733" w:type="dxa"/>
          </w:tcPr>
          <w:p w14:paraId="1A5F0ADC">
            <w:pPr>
              <w:spacing w:line="460" w:lineRule="exact"/>
              <w:rPr>
                <w:rFonts w:hint="eastAsia" w:ascii="仿宋" w:hAnsi="仿宋" w:eastAsia="仿宋" w:cs="仿宋"/>
                <w:sz w:val="22"/>
                <w:lang w:bidi="en-US"/>
              </w:rPr>
            </w:pPr>
          </w:p>
        </w:tc>
      </w:tr>
      <w:tr w14:paraId="6CAA0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0BBD868F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962" w:type="dxa"/>
            <w:vAlign w:val="center"/>
          </w:tcPr>
          <w:p w14:paraId="60F6917C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网络</w:t>
            </w:r>
          </w:p>
        </w:tc>
        <w:tc>
          <w:tcPr>
            <w:tcW w:w="5872" w:type="dxa"/>
            <w:vAlign w:val="center"/>
          </w:tcPr>
          <w:p w14:paraId="1C09C8DA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无线局域网：IEEE 802.11a/b/g/n/ac/ax，2.4G及5G 双频段  支持WIFI 6协议   (提供设备 WIFI6连接后界面截图证明)</w:t>
            </w:r>
          </w:p>
        </w:tc>
        <w:tc>
          <w:tcPr>
            <w:tcW w:w="733" w:type="dxa"/>
          </w:tcPr>
          <w:p w14:paraId="2D7BADD6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kern w:val="0"/>
                <w:sz w:val="22"/>
                <w:lang w:bidi="en-US"/>
              </w:rPr>
            </w:pPr>
          </w:p>
        </w:tc>
      </w:tr>
      <w:tr w14:paraId="00286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7118D3A4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962" w:type="dxa"/>
            <w:vAlign w:val="center"/>
          </w:tcPr>
          <w:p w14:paraId="01E608E6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处理器CPU</w:t>
            </w:r>
          </w:p>
        </w:tc>
        <w:tc>
          <w:tcPr>
            <w:tcW w:w="5872" w:type="dxa"/>
            <w:vAlign w:val="center"/>
          </w:tcPr>
          <w:p w14:paraId="1E982A1E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CPU：核心数≥14 核，线程数≥20 线程，主频≥2.6GHz，一级缓存：≥1.4MB，二级缓存：≥20MB，三级缓存：≥24MB，支持 x86-64 指令集。</w:t>
            </w:r>
          </w:p>
        </w:tc>
        <w:tc>
          <w:tcPr>
            <w:tcW w:w="733" w:type="dxa"/>
          </w:tcPr>
          <w:p w14:paraId="5B8B3637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kern w:val="0"/>
                <w:sz w:val="22"/>
                <w:lang w:bidi="en-US"/>
              </w:rPr>
            </w:pPr>
          </w:p>
        </w:tc>
      </w:tr>
      <w:tr w14:paraId="52351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1A324607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</w:t>
            </w:r>
          </w:p>
        </w:tc>
        <w:tc>
          <w:tcPr>
            <w:tcW w:w="962" w:type="dxa"/>
            <w:vAlign w:val="center"/>
          </w:tcPr>
          <w:p w14:paraId="7887E575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内存</w:t>
            </w:r>
          </w:p>
        </w:tc>
        <w:tc>
          <w:tcPr>
            <w:tcW w:w="5872" w:type="dxa"/>
            <w:vAlign w:val="center"/>
          </w:tcPr>
          <w:p w14:paraId="6EC54943">
            <w:pPr>
              <w:spacing w:line="460" w:lineRule="exact"/>
              <w:rPr>
                <w:rFonts w:hint="eastAsia" w:ascii="仿宋" w:hAnsi="仿宋" w:eastAsia="仿宋" w:cs="仿宋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容量≥16GB DDR4 3200MHz</w:t>
            </w:r>
          </w:p>
        </w:tc>
        <w:tc>
          <w:tcPr>
            <w:tcW w:w="733" w:type="dxa"/>
          </w:tcPr>
          <w:p w14:paraId="35FAD025">
            <w:pPr>
              <w:spacing w:line="460" w:lineRule="exact"/>
              <w:rPr>
                <w:rFonts w:hint="eastAsia" w:ascii="仿宋" w:hAnsi="仿宋" w:eastAsia="仿宋" w:cs="仿宋"/>
                <w:sz w:val="22"/>
                <w:lang w:bidi="en-US"/>
              </w:rPr>
            </w:pPr>
          </w:p>
        </w:tc>
      </w:tr>
      <w:tr w14:paraId="46157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7B6741E2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</w:t>
            </w:r>
          </w:p>
        </w:tc>
        <w:tc>
          <w:tcPr>
            <w:tcW w:w="962" w:type="dxa"/>
            <w:vAlign w:val="center"/>
          </w:tcPr>
          <w:p w14:paraId="031E74EB">
            <w:pPr>
              <w:spacing w:line="4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硬盘</w:t>
            </w:r>
          </w:p>
        </w:tc>
        <w:tc>
          <w:tcPr>
            <w:tcW w:w="5872" w:type="dxa"/>
            <w:vAlign w:val="center"/>
          </w:tcPr>
          <w:p w14:paraId="0877DE00">
            <w:pPr>
              <w:spacing w:line="36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容量≥500GB，M.2 2280 形态，PCIe 4.0 NVMe SSD；顺序读取速度≥6800MB/s，顺序写入速度≥5800MB/s；4K 随机读取 IOPS≥760K，4K 随机写入 IOPS≥700K；TBW≥300TBW；采用 3D TLC NAND 颗粒；可按需选配 1TB SATA 机械硬盘。</w:t>
            </w:r>
          </w:p>
        </w:tc>
        <w:tc>
          <w:tcPr>
            <w:tcW w:w="733" w:type="dxa"/>
          </w:tcPr>
          <w:p w14:paraId="203911F5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2"/>
              </w:rPr>
            </w:pPr>
          </w:p>
        </w:tc>
      </w:tr>
      <w:tr w14:paraId="32743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1CDDCD8B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</w:t>
            </w:r>
          </w:p>
        </w:tc>
        <w:tc>
          <w:tcPr>
            <w:tcW w:w="962" w:type="dxa"/>
            <w:vAlign w:val="center"/>
          </w:tcPr>
          <w:p w14:paraId="047098DC"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接口</w:t>
            </w:r>
          </w:p>
        </w:tc>
        <w:tc>
          <w:tcPr>
            <w:tcW w:w="5872" w:type="dxa"/>
            <w:vAlign w:val="center"/>
          </w:tcPr>
          <w:p w14:paraId="047E5BE6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个USB</w:t>
            </w:r>
          </w:p>
        </w:tc>
        <w:tc>
          <w:tcPr>
            <w:tcW w:w="733" w:type="dxa"/>
          </w:tcPr>
          <w:p w14:paraId="501F9B41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2"/>
              </w:rPr>
            </w:pPr>
          </w:p>
        </w:tc>
      </w:tr>
      <w:tr w14:paraId="4C6EE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2A266B78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</w:p>
        </w:tc>
        <w:tc>
          <w:tcPr>
            <w:tcW w:w="962" w:type="dxa"/>
            <w:vAlign w:val="center"/>
          </w:tcPr>
          <w:p w14:paraId="06AA0B76"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电池</w:t>
            </w:r>
          </w:p>
        </w:tc>
        <w:tc>
          <w:tcPr>
            <w:tcW w:w="5872" w:type="dxa"/>
            <w:vAlign w:val="center"/>
          </w:tcPr>
          <w:p w14:paraId="7045B09D">
            <w:pPr>
              <w:pStyle w:val="12"/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FF0000"/>
                <w:lang w:eastAsia="zh-TW"/>
              </w:rPr>
            </w:pP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FF0000"/>
                <w:lang w:eastAsia="zh-TW"/>
              </w:rPr>
              <w:t>① 锂离子电池组需通过 UN38.3 运输安全测试，具备有效 MSDS 化学品安全技术说明书，提供对应测试报告及文件复印件；报告出具机构需具备 CNAS 认可资质，测试委托方可为电池生产厂商或推车集成厂商。</w:t>
            </w:r>
          </w:p>
          <w:p w14:paraId="252DA229">
            <w:pPr>
              <w:pStyle w:val="12"/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FF0000"/>
                <w:lang w:eastAsia="zh-TW"/>
              </w:rPr>
            </w:pP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FF0000"/>
                <w:lang w:eastAsia="zh-TW"/>
              </w:rPr>
              <w:t>② 锂离子电池组需符合《便携式电子产品用锂离子电池和电池组安全要求》（GB 31241）标准，通过第三方权威检测机构的专项安全测试，提供对应测试报告复印件。</w:t>
            </w:r>
          </w:p>
          <w:p w14:paraId="11AD8899">
            <w:pPr>
              <w:pStyle w:val="12"/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FF0000"/>
                <w:lang w:eastAsia="zh-TW"/>
              </w:rPr>
            </w:pP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FF0000"/>
                <w:lang w:eastAsia="zh-TW"/>
              </w:rPr>
              <w:t>③ 电池及整车电源系统需通过静电放电抗扰度测试（符合 GB/T 17626.2 标准），由国家认可的检测机构出具专项测试报告复印件。</w:t>
            </w:r>
          </w:p>
        </w:tc>
        <w:tc>
          <w:tcPr>
            <w:tcW w:w="733" w:type="dxa"/>
          </w:tcPr>
          <w:p w14:paraId="4BD57EF6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2"/>
              </w:rPr>
            </w:pPr>
          </w:p>
        </w:tc>
      </w:tr>
      <w:tr w14:paraId="6E55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7200542E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62" w:type="dxa"/>
            <w:vAlign w:val="center"/>
          </w:tcPr>
          <w:p w14:paraId="7B0B95F5"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管理软件</w:t>
            </w:r>
          </w:p>
        </w:tc>
        <w:tc>
          <w:tcPr>
            <w:tcW w:w="5872" w:type="dxa"/>
            <w:vAlign w:val="center"/>
          </w:tcPr>
          <w:p w14:paraId="79E7C2A6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</w:rPr>
              <w:t>集中式管理, 可远端查询电量, 具备低电量及问题示警, 电源可用时间显示, 实时耗电瓦数显示等功能, 高温及错误警示, 支持中文显示</w:t>
            </w:r>
          </w:p>
        </w:tc>
        <w:tc>
          <w:tcPr>
            <w:tcW w:w="733" w:type="dxa"/>
          </w:tcPr>
          <w:p w14:paraId="6463D3A0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2"/>
              </w:rPr>
            </w:pPr>
          </w:p>
        </w:tc>
      </w:tr>
      <w:tr w14:paraId="70A8D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6BEB1E42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62" w:type="dxa"/>
            <w:vAlign w:val="center"/>
          </w:tcPr>
          <w:p w14:paraId="5234D618"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标示盘</w:t>
            </w:r>
          </w:p>
        </w:tc>
        <w:tc>
          <w:tcPr>
            <w:tcW w:w="5872" w:type="dxa"/>
            <w:vAlign w:val="center"/>
          </w:tcPr>
          <w:p w14:paraId="1A4FDB5D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</w:rPr>
              <w:t>标示盘含电源容量指示, 电脑及电池开关.</w:t>
            </w:r>
          </w:p>
        </w:tc>
        <w:tc>
          <w:tcPr>
            <w:tcW w:w="733" w:type="dxa"/>
          </w:tcPr>
          <w:p w14:paraId="2872A471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2"/>
              </w:rPr>
            </w:pPr>
          </w:p>
        </w:tc>
      </w:tr>
      <w:tr w14:paraId="1853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44269B25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62" w:type="dxa"/>
            <w:vAlign w:val="center"/>
          </w:tcPr>
          <w:p w14:paraId="1402EAB1"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工作台面</w:t>
            </w:r>
          </w:p>
        </w:tc>
        <w:tc>
          <w:tcPr>
            <w:tcW w:w="5872" w:type="dxa"/>
            <w:vAlign w:val="center"/>
          </w:tcPr>
          <w:p w14:paraId="329E4F53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</w:rPr>
              <w:t>高度可调整, 以电动方式为佳</w:t>
            </w:r>
          </w:p>
        </w:tc>
        <w:tc>
          <w:tcPr>
            <w:tcW w:w="733" w:type="dxa"/>
          </w:tcPr>
          <w:p w14:paraId="38A89EA2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2"/>
              </w:rPr>
            </w:pPr>
          </w:p>
        </w:tc>
      </w:tr>
      <w:tr w14:paraId="1AA01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65BBFB67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62" w:type="dxa"/>
            <w:vAlign w:val="center"/>
          </w:tcPr>
          <w:p w14:paraId="31ADAB4A"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一体机材质</w:t>
            </w:r>
          </w:p>
        </w:tc>
        <w:tc>
          <w:tcPr>
            <w:tcW w:w="5872" w:type="dxa"/>
            <w:vAlign w:val="center"/>
          </w:tcPr>
          <w:p w14:paraId="6DD283E0">
            <w:pPr>
              <w:pStyle w:val="12"/>
              <w:ind w:left="100"/>
              <w:rPr>
                <w:rFonts w:hint="eastAsia" w:ascii="仿宋" w:hAnsi="仿宋" w:eastAsia="仿宋" w:cs="仿宋"/>
                <w:sz w:val="21"/>
                <w:szCs w:val="21"/>
                <w:lang w:val="zh-TW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TW" w:eastAsia="zh-TW"/>
              </w:rPr>
              <w:t>车体表面经过静电粉末喷塑涂装工艺处理，不生锈易清理，车身稳固推行不晃动。台面、把手、抽屉表面、防撞护条、表面光滑平整易清洁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;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TW" w:eastAsia="zh-TW"/>
              </w:rPr>
              <w:t xml:space="preserve"> 符合医疗环境使用</w:t>
            </w:r>
          </w:p>
        </w:tc>
        <w:tc>
          <w:tcPr>
            <w:tcW w:w="733" w:type="dxa"/>
          </w:tcPr>
          <w:p w14:paraId="1E2979F7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2"/>
              </w:rPr>
            </w:pPr>
          </w:p>
        </w:tc>
      </w:tr>
      <w:tr w14:paraId="00F19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302FF3DB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62" w:type="dxa"/>
            <w:vAlign w:val="center"/>
          </w:tcPr>
          <w:p w14:paraId="1D2E28B9"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公司要求</w:t>
            </w:r>
          </w:p>
        </w:tc>
        <w:tc>
          <w:tcPr>
            <w:tcW w:w="5872" w:type="dxa"/>
            <w:vAlign w:val="center"/>
          </w:tcPr>
          <w:p w14:paraId="7C0DD793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zh-TW"/>
              </w:rPr>
              <w:t>重庆市区内有备件备品库，市内有技术维护人员</w:t>
            </w:r>
          </w:p>
        </w:tc>
        <w:tc>
          <w:tcPr>
            <w:tcW w:w="733" w:type="dxa"/>
          </w:tcPr>
          <w:p w14:paraId="4D4D2BB4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2"/>
              </w:rPr>
            </w:pPr>
          </w:p>
        </w:tc>
      </w:tr>
      <w:tr w14:paraId="5FA0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29" w:type="dxa"/>
            <w:vAlign w:val="center"/>
          </w:tcPr>
          <w:p w14:paraId="52D81E61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62" w:type="dxa"/>
            <w:vAlign w:val="center"/>
          </w:tcPr>
          <w:p w14:paraId="2410C372"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保修期和售后服务</w:t>
            </w:r>
          </w:p>
        </w:tc>
        <w:tc>
          <w:tcPr>
            <w:tcW w:w="5872" w:type="dxa"/>
            <w:vAlign w:val="center"/>
          </w:tcPr>
          <w:p w14:paraId="214B898D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zh-TW" w:eastAsia="zh-TW"/>
              </w:rPr>
              <w:t>电脑质保期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</w:rPr>
              <w:t>≥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zh-TW" w:eastAsia="zh-TW"/>
              </w:rPr>
              <w:t>年，电池质保期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</w:rPr>
              <w:t>≥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zh-TW" w:eastAsia="zh-TW"/>
              </w:rPr>
              <w:t>年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zh-TW"/>
              </w:rPr>
              <w:t>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推车整体质保期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</w:rPr>
              <w:t>≥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zh-TW" w:eastAsia="zh-TW"/>
              </w:rPr>
              <w:t>年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zh-TW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20202"/>
                <w:sz w:val="21"/>
                <w:szCs w:val="21"/>
                <w:u w:color="0000FF"/>
                <w:lang w:val="zh-TW"/>
              </w:rPr>
              <w:t>在质保期内所有维修和更换免费。如需更换配件在一天内完成。</w:t>
            </w:r>
          </w:p>
        </w:tc>
        <w:tc>
          <w:tcPr>
            <w:tcW w:w="733" w:type="dxa"/>
          </w:tcPr>
          <w:p w14:paraId="73362DAA">
            <w:pPr>
              <w:pStyle w:val="11"/>
              <w:spacing w:line="460" w:lineRule="exact"/>
              <w:ind w:firstLine="0" w:firstLineChars="0"/>
              <w:rPr>
                <w:rFonts w:hint="eastAsia" w:ascii="仿宋" w:hAnsi="仿宋" w:eastAsia="仿宋" w:cs="仿宋"/>
                <w:b/>
                <w:sz w:val="22"/>
              </w:rPr>
            </w:pPr>
          </w:p>
        </w:tc>
      </w:tr>
    </w:tbl>
    <w:p w14:paraId="6D0BC567">
      <w:pPr>
        <w:pStyle w:val="10"/>
        <w:tabs>
          <w:tab w:val="left" w:pos="567"/>
        </w:tabs>
        <w:ind w:firstLine="0" w:firstLineChars="0"/>
        <w:rPr>
          <w:rFonts w:hint="eastAsia" w:ascii="仿宋" w:hAnsi="仿宋" w:eastAsia="仿宋" w:cs="仿宋"/>
        </w:rPr>
      </w:pPr>
    </w:p>
    <w:p w14:paraId="3A94269A">
      <w:pPr>
        <w:pStyle w:val="10"/>
        <w:tabs>
          <w:tab w:val="left" w:pos="567"/>
        </w:tabs>
        <w:ind w:firstLine="0" w:firstLineChars="0"/>
        <w:rPr>
          <w:rFonts w:hint="eastAsia" w:ascii="仿宋" w:hAnsi="仿宋" w:eastAsia="仿宋" w:cs="仿宋"/>
        </w:rPr>
      </w:pPr>
    </w:p>
    <w:p w14:paraId="6DDAC270">
      <w:pPr>
        <w:pStyle w:val="10"/>
        <w:tabs>
          <w:tab w:val="left" w:pos="567"/>
        </w:tabs>
        <w:ind w:firstLine="0" w:firstLineChars="0"/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854AFE"/>
    <w:rsid w:val="000F3CE8"/>
    <w:rsid w:val="00122B97"/>
    <w:rsid w:val="001762EA"/>
    <w:rsid w:val="0024541A"/>
    <w:rsid w:val="00330DA1"/>
    <w:rsid w:val="003B0064"/>
    <w:rsid w:val="003B5F4C"/>
    <w:rsid w:val="004908B1"/>
    <w:rsid w:val="007B628B"/>
    <w:rsid w:val="00854AFE"/>
    <w:rsid w:val="00883657"/>
    <w:rsid w:val="00950D73"/>
    <w:rsid w:val="00993421"/>
    <w:rsid w:val="00994311"/>
    <w:rsid w:val="00A83B67"/>
    <w:rsid w:val="00A862CA"/>
    <w:rsid w:val="00AA1591"/>
    <w:rsid w:val="00AE2DA1"/>
    <w:rsid w:val="00BB19D0"/>
    <w:rsid w:val="00DD6AF3"/>
    <w:rsid w:val="00E14774"/>
    <w:rsid w:val="00E76A55"/>
    <w:rsid w:val="00EC2EA7"/>
    <w:rsid w:val="00EE4A7D"/>
    <w:rsid w:val="00F96577"/>
    <w:rsid w:val="01592BA7"/>
    <w:rsid w:val="0737795B"/>
    <w:rsid w:val="09972933"/>
    <w:rsid w:val="155D7127"/>
    <w:rsid w:val="18FC6C57"/>
    <w:rsid w:val="211B39F2"/>
    <w:rsid w:val="219519F6"/>
    <w:rsid w:val="256736AA"/>
    <w:rsid w:val="27206996"/>
    <w:rsid w:val="28DF17A9"/>
    <w:rsid w:val="2C091017"/>
    <w:rsid w:val="33791178"/>
    <w:rsid w:val="35CC59F8"/>
    <w:rsid w:val="36174C78"/>
    <w:rsid w:val="38052CE1"/>
    <w:rsid w:val="3A184B1B"/>
    <w:rsid w:val="3BC478F6"/>
    <w:rsid w:val="3C015051"/>
    <w:rsid w:val="43CC2BFE"/>
    <w:rsid w:val="44916696"/>
    <w:rsid w:val="45172091"/>
    <w:rsid w:val="519F77D6"/>
    <w:rsid w:val="530E56F5"/>
    <w:rsid w:val="54F40207"/>
    <w:rsid w:val="578306A6"/>
    <w:rsid w:val="598D0DFB"/>
    <w:rsid w:val="5B811D24"/>
    <w:rsid w:val="70741DA4"/>
    <w:rsid w:val="72982BDB"/>
    <w:rsid w:val="757321B9"/>
    <w:rsid w:val="76A41635"/>
    <w:rsid w:val="7E9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样式5"/>
    <w:basedOn w:val="1"/>
    <w:qFormat/>
    <w:uiPriority w:val="0"/>
    <w:pPr>
      <w:ind w:firstLine="480" w:firstLineChars="200"/>
    </w:pPr>
    <w:rPr>
      <w:rFonts w:ascii="宋体" w:eastAsia="Arial"/>
      <w:kern w:val="0"/>
      <w:szCs w:val="20"/>
    </w:rPr>
  </w:style>
  <w:style w:type="paragraph" w:customStyle="1" w:styleId="11">
    <w:name w:val="列出段落1"/>
    <w:basedOn w:val="1"/>
    <w:qFormat/>
    <w:uiPriority w:val="99"/>
    <w:pPr>
      <w:ind w:firstLine="420" w:firstLineChars="200"/>
    </w:pPr>
    <w:rPr>
      <w:rFonts w:ascii="Calibri" w:hAnsi="Calibri"/>
    </w:rPr>
  </w:style>
  <w:style w:type="paragraph" w:customStyle="1" w:styleId="12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int="eastAsia" w:ascii="Arial Unicode MS" w:hAnsi="Arial Unicode MS" w:eastAsia="Times New Roman" w:cs="Arial Unicode MS"/>
      <w:color w:val="000000"/>
      <w:kern w:val="2"/>
      <w:sz w:val="24"/>
      <w:szCs w:val="24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1003</Words>
  <Characters>1236</Characters>
  <Lines>5</Lines>
  <Paragraphs>1</Paragraphs>
  <TotalTime>186</TotalTime>
  <ScaleCrop>false</ScaleCrop>
  <LinksUpToDate>false</LinksUpToDate>
  <CharactersWithSpaces>1302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2019-05-29T02:03:00Z</dcterms:created>
  <dc:creator>his</dc:creator>
  <cp:lastModifiedBy>吴昱</cp:lastModifiedBy>
  <cp:lastPrinted>2026-07-30T08:11:41Z</cp:lastPrinted>
  <dcterms:modified xsi:type="dcterms:W3CDTF">2026-07-30T08:13:43Z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eyJoZGlkIjoiOTIzNzNlNTZlMjcwY2ViMGFjN2ViY2M4ZDJiMTQ5MzQiLCJ1c2VySWQiOiIxMzM3NzkyNDIwIn0=</vt:lpwstr>
  </property>
  <property fmtid="{D5CDD505-2E9C-101B-9397-08002B2CF9AE}" pid="3" name="KSOProductBuildVer">
    <vt:lpwstr>2052-12.1.0.26895</vt:lpwstr>
  </property>
  <property fmtid="{D5CDD505-2E9C-101B-9397-08002B2CF9AE}" pid="4" name="ICV">
    <vt:lpwstr>A853E7DBC40B49BDBE8C046C6D51907C_12</vt:lpwstr>
  </property>
</Properties>
</file>