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868"/>
      <w:bookmarkStart w:id="2" w:name="_Toc76373863"/>
      <w:bookmarkStart w:id="3" w:name="_Toc1304"/>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15376"/>
      <w:bookmarkStart w:id="9" w:name="_Toc76373864"/>
      <w:bookmarkStart w:id="10" w:name="_Toc28264"/>
      <w:bookmarkStart w:id="11" w:name="_Toc22435"/>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default" w:ascii="宋体" w:hAnsi="宋体" w:eastAsia="宋体" w:cs="宋体"/>
          <w:color w:val="auto"/>
          <w:kern w:val="2"/>
          <w:sz w:val="24"/>
          <w:szCs w:val="24"/>
          <w:lang w:val="en-US" w:eastAsia="zh-CN" w:bidi="ar-SA"/>
        </w:rPr>
      </w:pPr>
      <w:r>
        <w:rPr>
          <w:rFonts w:hint="eastAsia" w:ascii="宋体" w:hAnsi="宋体" w:cs="宋体"/>
          <w:color w:val="auto"/>
          <w:sz w:val="24"/>
          <w:szCs w:val="24"/>
        </w:rPr>
        <w:t>项目名称：</w:t>
      </w:r>
      <w:r>
        <w:rPr>
          <w:rFonts w:hint="eastAsia" w:ascii="宋体" w:hAnsi="宋体" w:eastAsia="宋体" w:cs="宋体"/>
          <w:b w:val="0"/>
          <w:bCs w:val="0"/>
          <w:color w:val="auto"/>
          <w:sz w:val="22"/>
          <w:szCs w:val="22"/>
          <w:vertAlign w:val="baseline"/>
          <w:lang w:val="en-US" w:eastAsia="zh-CN"/>
        </w:rPr>
        <w:t>弹力绷带（</w:t>
      </w:r>
      <w:r>
        <w:rPr>
          <w:rFonts w:hint="eastAsia" w:ascii="宋体" w:hAnsi="宋体" w:eastAsia="宋体" w:cs="宋体"/>
          <w:i w:val="0"/>
          <w:iCs w:val="0"/>
          <w:color w:val="000000"/>
          <w:kern w:val="0"/>
          <w:sz w:val="22"/>
          <w:szCs w:val="22"/>
          <w:u w:val="none"/>
          <w:lang w:val="en-US" w:eastAsia="zh-CN" w:bidi="ar"/>
        </w:rPr>
        <w:t>弹性医用胶布</w:t>
      </w:r>
      <w:r>
        <w:rPr>
          <w:rFonts w:hint="eastAsia" w:ascii="宋体" w:hAnsi="宋体" w:eastAsia="宋体" w:cs="宋体"/>
          <w:b w:val="0"/>
          <w:bCs w:val="0"/>
          <w:color w:val="auto"/>
          <w:sz w:val="22"/>
          <w:szCs w:val="22"/>
          <w:vertAlign w:val="baseline"/>
          <w:lang w:val="en-US" w:eastAsia="zh-CN"/>
        </w:rPr>
        <w:t>）</w:t>
      </w:r>
      <w:r>
        <w:rPr>
          <w:rFonts w:hint="eastAsia" w:ascii="宋体" w:hAnsi="宋体" w:cs="宋体"/>
          <w:b w:val="0"/>
          <w:bCs w:val="0"/>
          <w:color w:val="auto"/>
          <w:sz w:val="22"/>
          <w:szCs w:val="22"/>
          <w:vertAlign w:val="baseline"/>
          <w:lang w:val="en-US" w:eastAsia="zh-CN"/>
        </w:rPr>
        <w:t>、</w:t>
      </w:r>
      <w:r>
        <w:rPr>
          <w:rFonts w:hint="eastAsia" w:ascii="宋体" w:hAnsi="宋体" w:eastAsia="宋体" w:cs="宋体"/>
          <w:b w:val="0"/>
          <w:bCs w:val="0"/>
          <w:color w:val="auto"/>
          <w:sz w:val="22"/>
          <w:szCs w:val="22"/>
          <w:vertAlign w:val="baseline"/>
          <w:lang w:val="en-US" w:eastAsia="zh-CN"/>
        </w:rPr>
        <w:t>弹力绷带（自粘弹力绷带）</w:t>
      </w:r>
      <w:r>
        <w:rPr>
          <w:rFonts w:hint="eastAsia" w:ascii="宋体" w:hAnsi="宋体" w:cs="宋体"/>
          <w:b w:val="0"/>
          <w:bCs w:val="0"/>
          <w:color w:val="auto"/>
          <w:sz w:val="22"/>
          <w:szCs w:val="22"/>
          <w:vertAlign w:val="baseline"/>
          <w:lang w:val="en-US" w:eastAsia="zh-CN"/>
        </w:rPr>
        <w:t>、</w:t>
      </w:r>
      <w:r>
        <w:rPr>
          <w:rFonts w:hint="eastAsia" w:ascii="宋体" w:hAnsi="宋体" w:eastAsia="宋体" w:cs="宋体"/>
          <w:i w:val="0"/>
          <w:iCs w:val="0"/>
          <w:caps w:val="0"/>
          <w:color w:val="0F1115"/>
          <w:spacing w:val="0"/>
          <w:kern w:val="0"/>
          <w:sz w:val="22"/>
          <w:szCs w:val="22"/>
          <w:highlight w:val="none"/>
          <w:lang w:val="en-US" w:eastAsia="zh-CN" w:bidi="ar"/>
        </w:rPr>
        <w:t>弹力绷带（弹力网状绷带）</w:t>
      </w:r>
      <w:r>
        <w:rPr>
          <w:rFonts w:hint="eastAsia" w:ascii="宋体" w:hAnsi="宋体" w:cs="宋体"/>
          <w:i w:val="0"/>
          <w:iCs w:val="0"/>
          <w:caps w:val="0"/>
          <w:color w:val="0F1115"/>
          <w:spacing w:val="0"/>
          <w:kern w:val="0"/>
          <w:sz w:val="22"/>
          <w:szCs w:val="22"/>
          <w:highlight w:val="none"/>
          <w:lang w:val="en-US" w:eastAsia="zh-CN" w:bidi="ar"/>
        </w:rPr>
        <w:t>、</w:t>
      </w:r>
      <w:r>
        <w:rPr>
          <w:rFonts w:hint="eastAsia" w:ascii="宋体" w:hAnsi="宋体" w:eastAsia="宋体" w:cs="宋体"/>
          <w:b w:val="0"/>
          <w:bCs w:val="0"/>
          <w:i w:val="0"/>
          <w:iCs w:val="0"/>
          <w:color w:val="auto"/>
          <w:kern w:val="0"/>
          <w:sz w:val="22"/>
          <w:szCs w:val="22"/>
          <w:u w:val="none"/>
          <w:lang w:val="en-US" w:eastAsia="zh-CN" w:bidi="ar"/>
        </w:rPr>
        <w:t>聚乙烯胶带（医用胶带）</w:t>
      </w:r>
      <w:r>
        <w:rPr>
          <w:rFonts w:hint="eastAsia" w:ascii="宋体" w:hAnsi="宋体" w:cs="宋体"/>
          <w:b w:val="0"/>
          <w:bCs w:val="0"/>
          <w:i w:val="0"/>
          <w:iCs w:val="0"/>
          <w:color w:val="auto"/>
          <w:kern w:val="0"/>
          <w:sz w:val="22"/>
          <w:szCs w:val="22"/>
          <w:u w:val="none"/>
          <w:lang w:val="en-US" w:eastAsia="zh-CN" w:bidi="ar"/>
        </w:rPr>
        <w:t>等</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5838"/>
            <w:bookmarkStart w:id="16" w:name="_Toc18060"/>
            <w:bookmarkStart w:id="17" w:name="_Toc76373865"/>
            <w:bookmarkStart w:id="18" w:name="_Toc22129"/>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19D7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A31EB45">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2BDDC496">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vertAlign w:val="baseline"/>
                <w:lang w:val="en-US" w:eastAsia="zh-CN"/>
              </w:rPr>
              <w:t>弹力绷带（</w:t>
            </w:r>
            <w:r>
              <w:rPr>
                <w:rFonts w:hint="eastAsia" w:ascii="宋体" w:hAnsi="宋体" w:eastAsia="宋体" w:cs="宋体"/>
                <w:i w:val="0"/>
                <w:iCs w:val="0"/>
                <w:color w:val="000000"/>
                <w:kern w:val="0"/>
                <w:sz w:val="22"/>
                <w:szCs w:val="22"/>
                <w:u w:val="none"/>
                <w:lang w:val="en-US" w:eastAsia="zh-CN" w:bidi="ar"/>
              </w:rPr>
              <w:t>弹性医用胶布</w:t>
            </w:r>
            <w:r>
              <w:rPr>
                <w:rFonts w:hint="eastAsia" w:ascii="宋体" w:hAnsi="宋体" w:eastAsia="宋体" w:cs="宋体"/>
                <w:b w:val="0"/>
                <w:bCs w:val="0"/>
                <w:color w:val="auto"/>
                <w:sz w:val="22"/>
                <w:szCs w:val="22"/>
                <w:vertAlign w:val="baseline"/>
                <w:lang w:val="en-US" w:eastAsia="zh-CN"/>
              </w:rPr>
              <w:t>）</w:t>
            </w:r>
          </w:p>
        </w:tc>
        <w:tc>
          <w:tcPr>
            <w:tcW w:w="1485" w:type="dxa"/>
            <w:shd w:val="clear" w:color="auto" w:fill="auto"/>
            <w:noWrap w:val="0"/>
            <w:vAlign w:val="center"/>
          </w:tcPr>
          <w:p w14:paraId="78DB4C3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32293600">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04304576">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全院</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vertAlign w:val="baseline"/>
                <w:lang w:val="en-US" w:eastAsia="zh-CN"/>
              </w:rPr>
              <w:t>弹力绷带（自粘弹力绷带）</w:t>
            </w:r>
          </w:p>
        </w:tc>
        <w:tc>
          <w:tcPr>
            <w:tcW w:w="1485" w:type="dxa"/>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64BDA5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全院</w:t>
            </w:r>
          </w:p>
        </w:tc>
      </w:tr>
      <w:tr w14:paraId="4444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32A78145">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7298DDA1">
            <w:pPr>
              <w:keepNext w:val="0"/>
              <w:keepLines w:val="0"/>
              <w:widowControl/>
              <w:suppressLineNumbers w:val="0"/>
              <w:spacing w:line="375" w:lineRule="atLeast"/>
              <w:jc w:val="center"/>
              <w:rPr>
                <w:rFonts w:hint="eastAsia" w:ascii="宋体" w:hAnsi="宋体" w:cs="宋体"/>
                <w:color w:val="auto"/>
                <w:kern w:val="2"/>
                <w:sz w:val="24"/>
                <w:szCs w:val="24"/>
                <w:lang w:val="en-US" w:eastAsia="zh-CN" w:bidi="ar-SA"/>
              </w:rPr>
            </w:pPr>
            <w:r>
              <w:rPr>
                <w:rFonts w:hint="eastAsia" w:ascii="宋体" w:hAnsi="宋体" w:eastAsia="宋体" w:cs="宋体"/>
                <w:i w:val="0"/>
                <w:iCs w:val="0"/>
                <w:caps w:val="0"/>
                <w:color w:val="0F1115"/>
                <w:spacing w:val="0"/>
                <w:kern w:val="0"/>
                <w:sz w:val="22"/>
                <w:szCs w:val="22"/>
                <w:highlight w:val="none"/>
                <w:lang w:val="en-US" w:eastAsia="zh-CN" w:bidi="ar"/>
              </w:rPr>
              <w:t>弹力绷带（弹力网状绷带）</w:t>
            </w:r>
          </w:p>
        </w:tc>
        <w:tc>
          <w:tcPr>
            <w:tcW w:w="1485" w:type="dxa"/>
            <w:shd w:val="clear" w:color="auto" w:fill="auto"/>
            <w:noWrap w:val="0"/>
            <w:vAlign w:val="center"/>
          </w:tcPr>
          <w:p w14:paraId="54B4C918">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459B696E">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1A05660">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2BE9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9BA5FB7">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包四</w:t>
            </w:r>
          </w:p>
        </w:tc>
        <w:tc>
          <w:tcPr>
            <w:tcW w:w="2298" w:type="dxa"/>
            <w:shd w:val="clear" w:color="auto" w:fill="auto"/>
            <w:noWrap w:val="0"/>
            <w:vAlign w:val="center"/>
          </w:tcPr>
          <w:p w14:paraId="00A4349F">
            <w:pPr>
              <w:keepNext w:val="0"/>
              <w:keepLines w:val="0"/>
              <w:widowControl/>
              <w:suppressLineNumbers w:val="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聚乙烯胶带（医用胶带）</w:t>
            </w:r>
          </w:p>
        </w:tc>
        <w:tc>
          <w:tcPr>
            <w:tcW w:w="1485" w:type="dxa"/>
            <w:shd w:val="clear" w:color="auto" w:fill="auto"/>
            <w:noWrap w:val="0"/>
            <w:vAlign w:val="center"/>
          </w:tcPr>
          <w:p w14:paraId="674668F7">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276F07A1">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518DAD7">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5D43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restart"/>
            <w:noWrap w:val="0"/>
            <w:vAlign w:val="center"/>
          </w:tcPr>
          <w:p w14:paraId="14251632">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包五</w:t>
            </w:r>
          </w:p>
        </w:tc>
        <w:tc>
          <w:tcPr>
            <w:tcW w:w="2298" w:type="dxa"/>
            <w:shd w:val="clear" w:color="auto" w:fill="auto"/>
            <w:noWrap w:val="0"/>
            <w:vAlign w:val="center"/>
          </w:tcPr>
          <w:p w14:paraId="7C3774CA">
            <w:pPr>
              <w:widowControl/>
              <w:numPr>
                <w:ilvl w:val="0"/>
                <w:numId w:val="0"/>
              </w:numPr>
              <w:ind w:left="0" w:leftChars="0" w:firstLine="0" w:firstLineChars="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lang w:val="en-US" w:eastAsia="zh-CN"/>
              </w:rPr>
              <w:t>透明敷料</w:t>
            </w:r>
          </w:p>
        </w:tc>
        <w:tc>
          <w:tcPr>
            <w:tcW w:w="1485" w:type="dxa"/>
            <w:shd w:val="clear" w:color="auto" w:fill="auto"/>
            <w:noWrap w:val="0"/>
            <w:vAlign w:val="center"/>
          </w:tcPr>
          <w:p w14:paraId="2E6E23C6">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vMerge w:val="restart"/>
            <w:shd w:val="clear" w:color="auto" w:fill="auto"/>
            <w:noWrap w:val="0"/>
            <w:vAlign w:val="center"/>
          </w:tcPr>
          <w:p w14:paraId="3766BF20">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41ACC774">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5C79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2505C7E7">
            <w:pPr>
              <w:widowControl/>
              <w:spacing w:line="400" w:lineRule="exact"/>
              <w:jc w:val="center"/>
              <w:rPr>
                <w:rFonts w:hint="eastAsia" w:ascii="宋体" w:hAnsi="宋体" w:cs="宋体"/>
                <w:color w:val="auto"/>
                <w:sz w:val="24"/>
                <w:szCs w:val="24"/>
                <w:lang w:val="en-US" w:eastAsia="zh-CN"/>
              </w:rPr>
            </w:pPr>
          </w:p>
        </w:tc>
        <w:tc>
          <w:tcPr>
            <w:tcW w:w="2298" w:type="dxa"/>
            <w:shd w:val="clear" w:color="auto" w:fill="auto"/>
            <w:noWrap w:val="0"/>
            <w:vAlign w:val="center"/>
          </w:tcPr>
          <w:p w14:paraId="5FC2FFDF">
            <w:pPr>
              <w:widowControl/>
              <w:numPr>
                <w:ilvl w:val="0"/>
                <w:numId w:val="0"/>
              </w:numPr>
              <w:ind w:left="0" w:leftChars="0" w:firstLine="0" w:firstLineChars="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lang w:val="en-US" w:eastAsia="zh-CN"/>
              </w:rPr>
              <w:t>透明敷料</w:t>
            </w:r>
          </w:p>
        </w:tc>
        <w:tc>
          <w:tcPr>
            <w:tcW w:w="1485" w:type="dxa"/>
            <w:shd w:val="clear" w:color="auto" w:fill="auto"/>
            <w:noWrap w:val="0"/>
            <w:vAlign w:val="center"/>
          </w:tcPr>
          <w:p w14:paraId="7F6F788D">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vMerge w:val="continue"/>
            <w:tcBorders/>
            <w:shd w:val="clear" w:color="auto" w:fill="auto"/>
            <w:noWrap w:val="0"/>
            <w:vAlign w:val="center"/>
          </w:tcPr>
          <w:p w14:paraId="47412B62">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shd w:val="clear" w:color="auto" w:fill="auto"/>
            <w:noWrap w:val="0"/>
            <w:vAlign w:val="center"/>
          </w:tcPr>
          <w:p w14:paraId="2EC18B1B">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211E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vMerge w:val="continue"/>
            <w:tcBorders/>
            <w:noWrap w:val="0"/>
            <w:vAlign w:val="center"/>
          </w:tcPr>
          <w:p w14:paraId="39022AD4">
            <w:pPr>
              <w:widowControl/>
              <w:spacing w:line="400" w:lineRule="exact"/>
              <w:jc w:val="center"/>
              <w:rPr>
                <w:rFonts w:hint="eastAsia" w:ascii="宋体" w:hAnsi="宋体" w:cs="宋体"/>
                <w:color w:val="auto"/>
                <w:sz w:val="24"/>
                <w:szCs w:val="24"/>
                <w:lang w:val="en-US" w:eastAsia="zh-CN"/>
              </w:rPr>
            </w:pPr>
          </w:p>
        </w:tc>
        <w:tc>
          <w:tcPr>
            <w:tcW w:w="2298" w:type="dxa"/>
            <w:shd w:val="clear" w:color="auto" w:fill="auto"/>
            <w:noWrap w:val="0"/>
            <w:vAlign w:val="center"/>
          </w:tcPr>
          <w:p w14:paraId="54439F8C">
            <w:pPr>
              <w:widowControl/>
              <w:numPr>
                <w:ilvl w:val="0"/>
                <w:numId w:val="0"/>
              </w:numPr>
              <w:ind w:left="0" w:leftChars="0" w:firstLine="0" w:firstLineChars="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lang w:val="en-US" w:eastAsia="zh-CN"/>
              </w:rPr>
              <w:t>透明伤口敷料</w:t>
            </w:r>
          </w:p>
        </w:tc>
        <w:tc>
          <w:tcPr>
            <w:tcW w:w="1485" w:type="dxa"/>
            <w:shd w:val="clear" w:color="auto" w:fill="auto"/>
            <w:noWrap w:val="0"/>
            <w:vAlign w:val="center"/>
          </w:tcPr>
          <w:p w14:paraId="79320C3D">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vMerge w:val="continue"/>
            <w:tcBorders/>
            <w:shd w:val="clear" w:color="auto" w:fill="auto"/>
            <w:noWrap w:val="0"/>
            <w:vAlign w:val="center"/>
          </w:tcPr>
          <w:p w14:paraId="2A2C3D8F">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p>
        </w:tc>
        <w:tc>
          <w:tcPr>
            <w:tcW w:w="1594" w:type="dxa"/>
            <w:shd w:val="clear" w:color="auto" w:fill="auto"/>
            <w:noWrap w:val="0"/>
            <w:vAlign w:val="center"/>
          </w:tcPr>
          <w:p w14:paraId="35CDF91E">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3841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157F753F">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包六</w:t>
            </w:r>
          </w:p>
        </w:tc>
        <w:tc>
          <w:tcPr>
            <w:tcW w:w="2298" w:type="dxa"/>
            <w:shd w:val="clear" w:color="auto" w:fill="auto"/>
            <w:noWrap w:val="0"/>
            <w:vAlign w:val="center"/>
          </w:tcPr>
          <w:p w14:paraId="5B41350B">
            <w:pPr>
              <w:keepNext w:val="0"/>
              <w:keepLines w:val="0"/>
              <w:widowControl/>
              <w:suppressLineNumbers w:val="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液体敷料</w:t>
            </w:r>
          </w:p>
        </w:tc>
        <w:tc>
          <w:tcPr>
            <w:tcW w:w="1485" w:type="dxa"/>
            <w:shd w:val="clear" w:color="auto" w:fill="auto"/>
            <w:noWrap w:val="0"/>
            <w:vAlign w:val="center"/>
          </w:tcPr>
          <w:p w14:paraId="5E2C04C7">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4DD84B9C">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48A7CD25">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329C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62DC401">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包七</w:t>
            </w:r>
          </w:p>
        </w:tc>
        <w:tc>
          <w:tcPr>
            <w:tcW w:w="2298" w:type="dxa"/>
            <w:shd w:val="clear" w:color="auto" w:fill="auto"/>
            <w:noWrap w:val="0"/>
            <w:vAlign w:val="center"/>
          </w:tcPr>
          <w:p w14:paraId="156BE03E">
            <w:pPr>
              <w:keepNext w:val="0"/>
              <w:keepLines w:val="0"/>
              <w:widowControl/>
              <w:suppressLineNumbers w:val="0"/>
              <w:jc w:val="center"/>
              <w:textAlignment w:val="center"/>
              <w:rPr>
                <w:rFonts w:hint="eastAsia" w:ascii="宋体" w:hAnsi="宋体" w:cs="宋体"/>
                <w:color w:val="auto"/>
                <w:kern w:val="2"/>
                <w:sz w:val="24"/>
                <w:szCs w:val="24"/>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压敏胶带</w:t>
            </w:r>
          </w:p>
        </w:tc>
        <w:tc>
          <w:tcPr>
            <w:tcW w:w="1485" w:type="dxa"/>
            <w:shd w:val="clear" w:color="auto" w:fill="auto"/>
            <w:noWrap w:val="0"/>
            <w:vAlign w:val="center"/>
          </w:tcPr>
          <w:p w14:paraId="61FC5083">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07B53F40">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181AA986">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r w14:paraId="7B34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4C5AFEE">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包八</w:t>
            </w:r>
          </w:p>
        </w:tc>
        <w:tc>
          <w:tcPr>
            <w:tcW w:w="2298" w:type="dxa"/>
            <w:shd w:val="clear" w:color="auto" w:fill="auto"/>
            <w:noWrap w:val="0"/>
            <w:vAlign w:val="center"/>
          </w:tcPr>
          <w:p w14:paraId="1D83F66D">
            <w:pPr>
              <w:keepNext w:val="0"/>
              <w:keepLines w:val="0"/>
              <w:widowControl/>
              <w:suppressLineNumbers w:val="0"/>
              <w:spacing w:line="375" w:lineRule="atLeast"/>
              <w:jc w:val="center"/>
              <w:rPr>
                <w:rFonts w:hint="eastAsia" w:ascii="宋体" w:hAnsi="宋体" w:cs="宋体"/>
                <w:color w:val="auto"/>
                <w:kern w:val="2"/>
                <w:sz w:val="24"/>
                <w:szCs w:val="24"/>
                <w:lang w:val="en-US" w:eastAsia="zh-CN" w:bidi="ar-SA"/>
              </w:rPr>
            </w:pPr>
            <w:r>
              <w:rPr>
                <w:rFonts w:hint="eastAsia" w:ascii="宋体" w:hAnsi="宋体" w:eastAsia="宋体" w:cs="宋体"/>
                <w:i w:val="0"/>
                <w:iCs w:val="0"/>
                <w:caps w:val="0"/>
                <w:color w:val="0F1115"/>
                <w:spacing w:val="0"/>
                <w:kern w:val="0"/>
                <w:sz w:val="22"/>
                <w:szCs w:val="22"/>
                <w:highlight w:val="none"/>
                <w:lang w:val="en-US" w:eastAsia="zh-CN" w:bidi="ar"/>
              </w:rPr>
              <w:t>透气胶贴（体表导管固定装置）</w:t>
            </w:r>
          </w:p>
        </w:tc>
        <w:tc>
          <w:tcPr>
            <w:tcW w:w="1485" w:type="dxa"/>
            <w:shd w:val="clear" w:color="auto" w:fill="auto"/>
            <w:noWrap w:val="0"/>
            <w:vAlign w:val="center"/>
          </w:tcPr>
          <w:p w14:paraId="2A3879FD">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435F66B4">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7F0885E0">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26504"/>
      <w:bookmarkStart w:id="21" w:name="_Toc30358"/>
      <w:bookmarkStart w:id="22" w:name="_Toc25496"/>
      <w:bookmarkStart w:id="23" w:name="_Toc3434"/>
      <w:bookmarkStart w:id="24" w:name="_Toc7637386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17341"/>
      <w:bookmarkStart w:id="29" w:name="_Toc674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25272"/>
      <w:bookmarkStart w:id="40" w:name="_Toc4033"/>
      <w:bookmarkStart w:id="41" w:name="_Toc9714"/>
      <w:bookmarkStart w:id="42" w:name="_Toc14224"/>
      <w:bookmarkStart w:id="43" w:name="_Toc763738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08D936A3">
      <w:pPr>
        <w:widowControl/>
        <w:spacing w:before="120" w:beforeLines="50" w:line="360" w:lineRule="exact"/>
        <w:outlineLvl w:val="1"/>
        <w:rPr>
          <w:rFonts w:hint="eastAsia" w:ascii="Times New Roman" w:hAnsi="Times New Roman" w:cs="Times New Roman"/>
          <w:b w:val="0"/>
          <w:bCs w:val="0"/>
          <w:color w:val="auto"/>
          <w:sz w:val="24"/>
          <w:szCs w:val="24"/>
          <w:lang w:val="en-US" w:eastAsia="zh-CN"/>
        </w:rPr>
      </w:pPr>
      <w:bookmarkStart w:id="46" w:name="_Toc32286"/>
      <w:r>
        <w:rPr>
          <w:rFonts w:hint="eastAsia" w:cs="宋体"/>
          <w:b/>
          <w:color w:val="auto"/>
          <w:sz w:val="24"/>
        </w:rPr>
        <w:t>一、</w:t>
      </w:r>
      <w:bookmarkStart w:id="47" w:name="_Toc76373874"/>
      <w:bookmarkStart w:id="48" w:name="_Toc11474"/>
      <w:bookmarkStart w:id="49" w:name="_Toc3153"/>
      <w:bookmarkStart w:id="50" w:name="_Toc13391"/>
      <w:bookmarkStart w:id="51" w:name="_Toc2599"/>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30465"/>
      <w:bookmarkStart w:id="56" w:name="_Toc6355"/>
      <w:bookmarkStart w:id="57" w:name="_Toc29225"/>
      <w:bookmarkStart w:id="58" w:name="_Toc76373876"/>
      <w:bookmarkStart w:id="59" w:name="_Toc13107"/>
      <w:bookmarkStart w:id="60" w:name="_Toc1955"/>
    </w:p>
    <w:p w14:paraId="724C7BC7">
      <w:pPr>
        <w:pStyle w:val="168"/>
        <w:widowControl/>
        <w:numPr>
          <w:ilvl w:val="0"/>
          <w:numId w:val="0"/>
        </w:numPr>
        <w:spacing w:line="400" w:lineRule="exact"/>
        <w:rPr>
          <w:rFonts w:hint="default" w:ascii="Times New Roman" w:hAnsi="Times New Roman" w:eastAsia="宋体"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包1</w:t>
      </w:r>
    </w:p>
    <w:p w14:paraId="5FFCF018">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用途：用于将敷料粘贴固定于创面或将其他医疗器械固定到人体的特定部位，不与创面直接接触。粘贴部位为完好皮肤。</w:t>
      </w:r>
    </w:p>
    <w:p w14:paraId="4FEA189F">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1、提供多个尺寸供选择，如5cm*5m，7.5cm*5m；</w:t>
      </w:r>
    </w:p>
    <w:p w14:paraId="163DD519">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2、结构组成：由弹性背衬（弹力棉布、无纺布、丝绸布等任一医用柔性基材）+医用压敏胶（丙烯酸酯或合成橡胶类低敏胶）+离型纸/离型膜组成；</w:t>
      </w:r>
    </w:p>
    <w:p w14:paraId="1901D17F">
      <w:pPr>
        <w:pStyle w:val="168"/>
        <w:widowControl/>
        <w:numPr>
          <w:ilvl w:val="0"/>
          <w:numId w:val="0"/>
        </w:numPr>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性能：剥离强度 ≥1.0 N/cm；持粘性：贴于不锈钢板粘贴胶带顶端下滑 ≤2.5 mm；弹性：恢复长度不大于全伸展长度的 80%；可伸展性 ≤14 N/cm；永久性变形 ≤5%，甲醛残留量≤20μg/g，重金属≤10ppm。</w:t>
      </w:r>
    </w:p>
    <w:p w14:paraId="34ED19ED">
      <w:pPr>
        <w:pStyle w:val="23"/>
        <w:ind w:left="0" w:leftChars="0" w:firstLine="0" w:firstLineChars="0"/>
        <w:jc w:val="both"/>
        <w:rPr>
          <w:rFonts w:hint="eastAsia" w:ascii="Times New Roman" w:hAnsi="Times New Roman" w:eastAsia="宋体" w:cs="Times New Roman"/>
          <w:b w:val="0"/>
          <w:bCs w:val="0"/>
          <w:i w:val="0"/>
          <w:color w:val="auto"/>
          <w:kern w:val="2"/>
          <w:sz w:val="24"/>
          <w:szCs w:val="24"/>
          <w:lang w:val="en-US" w:eastAsia="zh-CN" w:bidi="ar-SA"/>
        </w:rPr>
      </w:pPr>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2</w:t>
      </w:r>
    </w:p>
    <w:p w14:paraId="5E430B3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用途:无菌自粘弹力绷带用途：用于对创面敷料或肢体提供高强度、持久的束缚力，起到加压包扎、固定及轻度支撑作用。</w:t>
      </w:r>
    </w:p>
    <w:p w14:paraId="3AA9B71D">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1、提供多种尺寸供选择，如7.5cm×450cm，10.0cm×450cm；</w:t>
      </w:r>
    </w:p>
    <w:p w14:paraId="446C9AF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2、材质：为弹力基材（聚酯纤维、纯棉、无纺布等任一医用柔性基材），以卷状提供；</w:t>
      </w:r>
    </w:p>
    <w:p w14:paraId="6452064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3、特性：自粘合力：缠绕后自动贴合定型，拆除时无残胶、不牵拉皮肤；延展率≥120%（或拉伸比≥1:1.2）；形变恢复能力：拉伸至1.5倍长度后松开，5分钟内恢复至原长110%以内；</w:t>
      </w:r>
    </w:p>
    <w:p w14:paraId="13B2FB18">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产品应具备优异的透气结构，质地轻盈柔软，顺应身体轮廓，确保包扎舒适且有效。</w:t>
      </w:r>
    </w:p>
    <w:p w14:paraId="6733EE84">
      <w:pPr>
        <w:rPr>
          <w:rFonts w:hint="default"/>
          <w:lang w:val="en-US" w:eastAsia="zh-CN"/>
        </w:rPr>
      </w:pPr>
    </w:p>
    <w:p w14:paraId="7A88ECB3">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3</w:t>
      </w:r>
    </w:p>
    <w:p w14:paraId="6A610A7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用途：用于外科包扎、固定敷料、静脉输液留置针管及中心静脉导管（PICC/CVC）时一次性使用，或用于四肢、躯干的术后切口保护与固定。</w:t>
      </w:r>
    </w:p>
    <w:p w14:paraId="4B1D010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1.产品为整体筒状网状针织结构，由医用弹性纤维、聚酯纤维/棉纤维等医用高分子柔性材质针织织造、裁剪加工制成。</w:t>
      </w:r>
    </w:p>
    <w:p w14:paraId="26449B4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2.无压敏胶、无粘性涂层，依靠织物自身弹性实现固定。</w:t>
      </w:r>
    </w:p>
    <w:p w14:paraId="61769D2A">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3.提供多种规格尺寸，适配手指、四肢、关节、躯干等不同部位，含XS/S/M/L/XL等多档位规格可选，满足临床多部位包扎固定需求。</w:t>
      </w:r>
    </w:p>
    <w:p w14:paraId="2857D7A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4.织物弹性优良、拉伸回弹稳定，拉伸后可紧密贴合肢体轮廓，张力均匀。</w:t>
      </w:r>
    </w:p>
    <w:p w14:paraId="42D83DC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5.网状镂空结构，透气性良好；质地柔软、亲肤低刺激，无致敏材质，边缘平整无毛刺。</w:t>
      </w:r>
    </w:p>
    <w:p w14:paraId="5C96F45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6.常规非无菌提供，可按需提供无菌灭菌款单独报价</w:t>
      </w:r>
    </w:p>
    <w:p w14:paraId="15A41EE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筒状一体成型，无需缠绕打结。</w:t>
      </w:r>
    </w:p>
    <w:p w14:paraId="4511D194">
      <w:pPr>
        <w:pStyle w:val="31"/>
        <w:rPr>
          <w:rFonts w:hint="default"/>
          <w:lang w:val="en-US" w:eastAsia="zh-CN"/>
        </w:rPr>
      </w:pPr>
    </w:p>
    <w:p w14:paraId="039E5AA8">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4</w:t>
      </w:r>
    </w:p>
    <w:p w14:paraId="6EDEB1E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产品用途：用于将敷料粘贴固定于创面或将其他医疗器械固定到人体的特定部位。</w:t>
      </w:r>
    </w:p>
    <w:p w14:paraId="7CBD85F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1、尺寸</w:t>
      </w:r>
      <w:r>
        <w:rPr>
          <w:rFonts w:hint="eastAsia" w:ascii="Times New Roman" w:hAnsi="Times New Roman"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宽度1.0-1.5cm可选，长度≥8m/卷；</w:t>
      </w:r>
    </w:p>
    <w:p w14:paraId="41F1C3B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2、材质：背衬材料为聚乙烯(PE)膜；胶层为低致敏性医用压敏胶（丙烯酸酯类）；不含天然乳胶</w:t>
      </w:r>
    </w:p>
    <w:p w14:paraId="0516037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3、性能：具备高拉伸强度及非弹性特征；支持至少一个方向徒手直撕；持粘性：粘贴于钢板的胶带顶端下滑位移≤2.5mm；初粘力≥1.0N/cm；</w:t>
      </w:r>
    </w:p>
    <w:p w14:paraId="6336DECE">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防水性：具备良好的拒水性能，可耐受日常冲洗及汗液浸渍，不易因潮湿导致粘附失效。</w:t>
      </w:r>
    </w:p>
    <w:p w14:paraId="38020A5F">
      <w:pPr>
        <w:pStyle w:val="31"/>
        <w:rPr>
          <w:rFonts w:hint="default"/>
          <w:lang w:val="en-US" w:eastAsia="zh-CN"/>
        </w:rPr>
      </w:pPr>
    </w:p>
    <w:p w14:paraId="55FC2F0D">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5</w:t>
      </w:r>
    </w:p>
    <w:p w14:paraId="25A2492B">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透明敷料：</w:t>
      </w:r>
    </w:p>
    <w:p w14:paraId="2913C7A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透明敷料用途：外周静脉留置针（套管针）的固定。</w:t>
      </w:r>
    </w:p>
    <w:p w14:paraId="7DAC6812">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1、材质：由涂覆医用粘合剂的医用聚氨酯薄膜、离型纸等组成</w:t>
      </w:r>
    </w:p>
    <w:p w14:paraId="62B484C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2、规格尺寸：尺寸约 6cm×7cm 或 6cm×8cm；</w:t>
      </w:r>
    </w:p>
    <w:p w14:paraId="41B8B2AB">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3、结构要求：需为带边框设计（无纺布边框或纸质定位边框均可），可配有全透明窗口；或带有等效的力学增强固定结构；</w:t>
      </w:r>
    </w:p>
    <w:p w14:paraId="27FEF95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4、其他要求：采用点状或网格涂布工艺（或等效的低致敏涂布工艺），降低粘合剂与皮肤接触面积，提升透气性，实现无痛撕除，降低过敏及闷湿风险；</w:t>
      </w:r>
    </w:p>
    <w:p w14:paraId="7F0006A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5、所有产品必须为无菌提供。</w:t>
      </w:r>
    </w:p>
    <w:p w14:paraId="5BC92CA3">
      <w:pPr>
        <w:pStyle w:val="31"/>
        <w:rPr>
          <w:rFonts w:hint="default"/>
          <w:lang w:val="en-US" w:eastAsia="zh-CN"/>
        </w:rPr>
      </w:pPr>
    </w:p>
    <w:p w14:paraId="20D6B80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eastAsia="宋体" w:cs="Times New Roman"/>
          <w:b w:val="0"/>
          <w:bCs w:val="0"/>
          <w:i w:val="0"/>
          <w:color w:val="auto"/>
          <w:kern w:val="2"/>
          <w:sz w:val="24"/>
          <w:szCs w:val="24"/>
          <w:lang w:val="en-US" w:eastAsia="zh-CN" w:bidi="ar-SA"/>
        </w:rPr>
        <w:t>透明敷料：</w:t>
      </w:r>
    </w:p>
    <w:p w14:paraId="4DB1758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用途：中心静脉导管（PICC/CVC/输液港）及透析导管的强力固定</w:t>
      </w:r>
    </w:p>
    <w:p w14:paraId="676EE3E1">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1、材质：由涂覆增强型医用粘合剂的医用聚氨酯薄膜、离型纸等组成</w:t>
      </w:r>
    </w:p>
    <w:p w14:paraId="29B0EDE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2、规格尺寸：具备高韧性背衬，约10cm×11.5cm 或 10cm×12cm；</w:t>
      </w:r>
    </w:p>
    <w:p w14:paraId="40C112B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3、性能指标：使用周期≥5天，能耐受汗液浸渍；</w:t>
      </w:r>
    </w:p>
    <w:p w14:paraId="7CDE8144">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4、其他要求：采用点状或网格涂布工艺（或等效的低致敏涂布工艺），大幅降低粘合剂与皮肤接触面积，显著提升透气性，实现无痛撕除，降低过敏及闷湿风险。</w:t>
      </w:r>
    </w:p>
    <w:p w14:paraId="77290E28">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5、所有产品必须为无菌提供</w:t>
      </w:r>
      <w:r>
        <w:rPr>
          <w:rFonts w:hint="eastAsia" w:ascii="Times New Roman" w:hAnsi="Times New Roman" w:cs="Times New Roman"/>
          <w:b w:val="0"/>
          <w:bCs w:val="0"/>
          <w:i w:val="0"/>
          <w:color w:val="auto"/>
          <w:kern w:val="2"/>
          <w:sz w:val="24"/>
          <w:szCs w:val="24"/>
          <w:lang w:val="en-US" w:eastAsia="zh-CN" w:bidi="ar-SA"/>
        </w:rPr>
        <w:t>。</w:t>
      </w:r>
    </w:p>
    <w:p w14:paraId="3B53D0DF">
      <w:pPr>
        <w:pStyle w:val="31"/>
        <w:rPr>
          <w:rFonts w:hint="eastAsia"/>
          <w:lang w:val="en-US" w:eastAsia="zh-CN"/>
        </w:rPr>
      </w:pPr>
    </w:p>
    <w:p w14:paraId="070B5369">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透明伤口敷料：</w:t>
      </w:r>
    </w:p>
    <w:p w14:paraId="546AA792">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用途：用于术后切口、缝合伤口或有少量渗液的急性创伤覆盖。</w:t>
      </w:r>
    </w:p>
    <w:p w14:paraId="53C4709B">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1、材质：由外层防水透明膜、中间吸水垫、底层低敏压敏胶及离型纸复合而成。</w:t>
      </w:r>
    </w:p>
    <w:p w14:paraId="2FCD7204">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2、功能要求：吸收垫需具备快速吸液且不反渗的功能，吸水垫液体吸收量 ≥3.0g/g；</w:t>
      </w:r>
    </w:p>
    <w:p w14:paraId="5962A9CE">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3、规格尺寸：6cm×7cm 、9cm×10cm、10cm×15cm、10×20cm、10×25cm等。</w:t>
      </w:r>
    </w:p>
    <w:p w14:paraId="59A14D8D">
      <w:pPr>
        <w:pStyle w:val="168"/>
        <w:widowControl/>
        <w:numPr>
          <w:ilvl w:val="0"/>
          <w:numId w:val="0"/>
        </w:numPr>
        <w:spacing w:line="400" w:lineRule="exact"/>
        <w:ind w:firstLine="480" w:firstLineChars="200"/>
        <w:rPr>
          <w:rFonts w:hint="eastAsia" w:ascii="Times New Roman" w:hAnsi="Times New Roman"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4、所有产品必须为无菌提供。</w:t>
      </w:r>
    </w:p>
    <w:p w14:paraId="3679AEAD">
      <w:pPr>
        <w:pStyle w:val="31"/>
        <w:rPr>
          <w:rFonts w:hint="default"/>
          <w:lang w:val="en-US" w:eastAsia="zh-CN"/>
        </w:rPr>
      </w:pPr>
    </w:p>
    <w:p w14:paraId="37B89A25">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6</w:t>
      </w:r>
    </w:p>
    <w:p w14:paraId="294B6F0D">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液体敷料用途：在创面表面形成保护层，起物理屏障作用，用于小创口、擦伤、切割伤等浅表性创面及周围皮肤的护理。临床可用于造口周围皮肤、失禁性皮炎、静脉穿刺点（PICC/CVC）周围皮肤及骶尾部等受压部位的隔离防护，降低摩擦剪切力，隔离排泄物、创面渗出液及粘胶刺激。</w:t>
      </w:r>
    </w:p>
    <w:p w14:paraId="3131D13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1、结构与组成：产品应由成膜剂、溶剂和助剂组成。溶剂类型及安全性须提供验证资料，不含重金属及其他有毒有害物质，对破损皮肤无刺激性；</w:t>
      </w:r>
    </w:p>
    <w:p w14:paraId="79025078">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2、快干成膜性：喷涂或涂抹后≤60秒，形成透明、柔软保护；</w:t>
      </w:r>
    </w:p>
    <w:p w14:paraId="5867BDC0">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3、防护与透气性：形成的保护膜须具备"防水透气"双重特性；</w:t>
      </w:r>
    </w:p>
    <w:p w14:paraId="1953A3BA">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4、产品涂抹或喷洒于敏感或受损皮肤时，不得引起患者明显的疼痛或不适；提供生物相容性检测报告（细胞毒性、皮肤刺激性、皮肤致敏性合格）；</w:t>
      </w:r>
    </w:p>
    <w:p w14:paraId="18D6120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5、耐用性：保护膜应具有较强的皮肤附着力，单次涂抹保护层有效期不低于24小时；</w:t>
      </w:r>
    </w:p>
    <w:p w14:paraId="77E39430">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6、产品为第二类医疗器械，提供有效的医疗器械注册证。</w:t>
      </w:r>
    </w:p>
    <w:p w14:paraId="37C0D6A8">
      <w:pPr>
        <w:pStyle w:val="31"/>
        <w:rPr>
          <w:rFonts w:hint="default"/>
          <w:lang w:val="en-US" w:eastAsia="zh-CN"/>
        </w:rPr>
      </w:pPr>
    </w:p>
    <w:p w14:paraId="00431DE9">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7</w:t>
      </w:r>
    </w:p>
    <w:p w14:paraId="61A9796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压敏胶带用途：产品用于将敷料粘贴固定于完好皮肤表面或将其他医疗器械固定到人体的特定部位。</w:t>
      </w:r>
    </w:p>
    <w:p w14:paraId="005D4406">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1、结构与材质：采用医用级微孔无纺布或聚乙烯（PE）微孔膜。要求布面均匀平整、不起毛、无污渍破洞。</w:t>
      </w:r>
    </w:p>
    <w:p w14:paraId="49D24A4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2、胶粘涂层：采用医用级丙烯酸酯压敏胶。胶层涂布均匀，表面光滑，无缺胶、溢胶、脱胶现象。</w:t>
      </w:r>
    </w:p>
    <w:p w14:paraId="7FC3225A">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3：性能指标：透气性能：24小时水蒸气透过量 ≥ 500 g/㎡，剥离强度不低于1.0N/cm，持粘性≤2.5mm；拉伸性能达标，不易断裂，撕取便捷，解卷顺畅不粘连。</w:t>
      </w:r>
    </w:p>
    <w:p w14:paraId="530B7499">
      <w:pPr>
        <w:pStyle w:val="31"/>
        <w:rPr>
          <w:rFonts w:hint="default"/>
          <w:lang w:val="en-US" w:eastAsia="zh-CN"/>
        </w:rPr>
      </w:pPr>
    </w:p>
    <w:p w14:paraId="52E28D25">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8</w:t>
      </w:r>
    </w:p>
    <w:p w14:paraId="548B2899">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用途：用于在体表固定医用导管，适用于胃管、尿管、引流管、留置针延长管等各类导管的固定，防止导管移位或非计划性拔管。</w:t>
      </w:r>
    </w:p>
    <w:p w14:paraId="4E1511F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1.工字/双翼型，中间设导管固定卡槽；</w:t>
      </w:r>
    </w:p>
    <w:p w14:paraId="7CA6BDA3">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2.基材为医用无纺布/PU膜，胶层为低敏丙烯酸酯压敏胶（不含天然乳胶）；</w:t>
      </w:r>
    </w:p>
    <w:p w14:paraId="00C7030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eastAsia" w:ascii="Times New Roman" w:hAnsi="Times New Roman" w:cs="Times New Roman"/>
          <w:b w:val="0"/>
          <w:bCs w:val="0"/>
          <w:i w:val="0"/>
          <w:color w:val="auto"/>
          <w:kern w:val="2"/>
          <w:sz w:val="24"/>
          <w:szCs w:val="24"/>
          <w:lang w:val="en-US" w:eastAsia="zh-CN" w:bidi="ar-SA"/>
        </w:rPr>
        <w:t>3.</w:t>
      </w:r>
      <w:r>
        <w:rPr>
          <w:rFonts w:hint="default" w:ascii="Times New Roman" w:hAnsi="Times New Roman" w:eastAsia="宋体" w:cs="Times New Roman"/>
          <w:b w:val="0"/>
          <w:bCs w:val="0"/>
          <w:i w:val="0"/>
          <w:color w:val="auto"/>
          <w:kern w:val="2"/>
          <w:sz w:val="24"/>
          <w:szCs w:val="24"/>
          <w:lang w:val="en-US" w:eastAsia="zh-CN" w:bidi="ar-SA"/>
        </w:rPr>
        <w:t>单片独立无菌包装。</w:t>
      </w:r>
      <w:bookmarkStart w:id="192" w:name="_GoBack"/>
      <w:bookmarkEnd w:id="192"/>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31843"/>
      <w:bookmarkStart w:id="63" w:name="_Toc1768"/>
      <w:bookmarkStart w:id="64" w:name="_Toc4791"/>
      <w:bookmarkStart w:id="65" w:name="_Toc15650"/>
      <w:bookmarkStart w:id="66" w:name="_Toc7794"/>
      <w:bookmarkStart w:id="67" w:name="_Toc17524"/>
      <w:bookmarkStart w:id="68" w:name="_Toc76373878"/>
      <w:bookmarkStart w:id="69" w:name="_Toc2072"/>
      <w:bookmarkStart w:id="70" w:name="_Toc17944"/>
      <w:bookmarkStart w:id="71" w:name="_Toc24122"/>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30551"/>
      <w:bookmarkStart w:id="74" w:name="_Toc29836"/>
      <w:bookmarkStart w:id="75" w:name="_Toc76373879"/>
      <w:bookmarkStart w:id="76" w:name="_Toc22561"/>
      <w:bookmarkStart w:id="77" w:name="_Toc14311"/>
      <w:bookmarkStart w:id="78" w:name="_Toc5959"/>
      <w:bookmarkStart w:id="79" w:name="_Toc9339"/>
      <w:bookmarkStart w:id="80" w:name="_Toc13528"/>
      <w:bookmarkStart w:id="81" w:name="_Toc28942"/>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0263"/>
      <w:bookmarkStart w:id="84" w:name="_Toc12384"/>
      <w:bookmarkStart w:id="85" w:name="_Toc20772"/>
      <w:bookmarkStart w:id="86" w:name="_Toc27893"/>
      <w:bookmarkStart w:id="87" w:name="_Toc2258"/>
      <w:bookmarkStart w:id="88" w:name="_Toc27737"/>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28189"/>
      <w:bookmarkStart w:id="91" w:name="_Toc23699"/>
      <w:bookmarkStart w:id="92" w:name="_Toc12712"/>
      <w:bookmarkStart w:id="93" w:name="_Toc7115"/>
      <w:bookmarkStart w:id="94" w:name="_Toc76373886"/>
      <w:bookmarkStart w:id="95" w:name="_Toc11052"/>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26754"/>
      <w:bookmarkStart w:id="98" w:name="_Toc31293"/>
      <w:bookmarkStart w:id="99" w:name="_Toc13585"/>
      <w:bookmarkStart w:id="100" w:name="_Toc19809"/>
      <w:bookmarkStart w:id="101" w:name="_Toc76373887"/>
      <w:bookmarkStart w:id="102" w:name="_Toc5535"/>
      <w:bookmarkStart w:id="103"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76373889"/>
      <w:bookmarkStart w:id="106" w:name="_Toc30068"/>
      <w:bookmarkStart w:id="107" w:name="_Toc2900"/>
      <w:bookmarkStart w:id="108" w:name="_Toc8546"/>
      <w:bookmarkStart w:id="109" w:name="_Toc5251"/>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11342"/>
      <w:bookmarkStart w:id="113" w:name="_Toc11654"/>
      <w:bookmarkStart w:id="114" w:name="_Toc27443"/>
      <w:bookmarkStart w:id="115" w:name="_Toc76373890"/>
      <w:bookmarkStart w:id="116" w:name="_Toc20034"/>
      <w:bookmarkStart w:id="117" w:name="_Toc26071"/>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76373891"/>
      <w:bookmarkStart w:id="120" w:name="_Toc27646"/>
      <w:bookmarkStart w:id="121" w:name="_Toc20391"/>
      <w:bookmarkStart w:id="122" w:name="_Toc10864"/>
      <w:bookmarkStart w:id="123" w:name="_Toc25199"/>
      <w:r>
        <w:rPr>
          <w:rFonts w:hint="eastAsia" w:ascii="宋体" w:hAnsi="宋体" w:cs="宋体"/>
          <w:b/>
          <w:color w:val="auto"/>
          <w:szCs w:val="36"/>
        </w:rPr>
        <w:t xml:space="preserve">第四篇  </w:t>
      </w:r>
      <w:bookmarkStart w:id="124" w:name="_Toc349642178"/>
      <w:bookmarkStart w:id="125" w:name="_Toc258354120"/>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0762"/>
      <w:bookmarkStart w:id="132" w:name="_Toc19409"/>
      <w:bookmarkStart w:id="133" w:name="_Toc76373904"/>
      <w:bookmarkStart w:id="134" w:name="_Toc10152"/>
      <w:bookmarkStart w:id="135" w:name="_Toc2975"/>
      <w:bookmarkStart w:id="136" w:name="_Toc24088"/>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16112"/>
      <w:bookmarkStart w:id="138" w:name="_Toc12863"/>
      <w:bookmarkStart w:id="139" w:name="_Toc25920"/>
      <w:bookmarkStart w:id="140" w:name="_Toc11892"/>
      <w:bookmarkStart w:id="141" w:name="_Toc11763"/>
      <w:bookmarkStart w:id="142" w:name="_Toc7750"/>
      <w:bookmarkStart w:id="143" w:name="_Toc76373907"/>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3094"/>
      <w:bookmarkStart w:id="152" w:name="_Toc22827"/>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OLE_LINK6"/>
      <w:bookmarkStart w:id="156"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1830"/>
      <w:bookmarkStart w:id="165" w:name="_Toc493178790"/>
      <w:bookmarkStart w:id="166" w:name="_Toc27306"/>
      <w:bookmarkStart w:id="167" w:name="_Toc76373909"/>
      <w:bookmarkStart w:id="168" w:name="_Toc9795"/>
      <w:bookmarkStart w:id="169" w:name="_Toc21431"/>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20875"/>
      <w:bookmarkStart w:id="175" w:name="_Toc16487"/>
      <w:bookmarkStart w:id="176" w:name="_Toc411"/>
      <w:bookmarkStart w:id="177" w:name="_Toc492721039"/>
      <w:bookmarkStart w:id="178" w:name="_Toc76373910"/>
      <w:bookmarkStart w:id="179" w:name="_Toc493178791"/>
      <w:bookmarkStart w:id="180" w:name="_Toc1264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8925"/>
      <w:bookmarkStart w:id="183" w:name="_Toc6217"/>
      <w:bookmarkStart w:id="184" w:name="_Toc16151"/>
      <w:bookmarkStart w:id="185" w:name="_Toc493178793"/>
      <w:bookmarkStart w:id="186" w:name="_Toc20605"/>
      <w:bookmarkStart w:id="187" w:name="_Toc76373912"/>
      <w:bookmarkStart w:id="188" w:name="_Toc492721038"/>
      <w:bookmarkStart w:id="189" w:name="_Toc4250"/>
      <w:bookmarkStart w:id="190" w:name="_Toc1929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5E6764A-3B86-4381-8C34-7654C9AC051B}"/>
  </w:font>
  <w:font w:name="黑体">
    <w:panose1 w:val="02010609060101010101"/>
    <w:charset w:val="86"/>
    <w:family w:val="auto"/>
    <w:pitch w:val="default"/>
    <w:sig w:usb0="800002BF" w:usb1="38CF7CFA" w:usb2="00000016" w:usb3="00000000" w:csb0="00040001" w:csb1="00000000"/>
    <w:embedRegular r:id="rId2" w:fontKey="{9B216FFE-250B-47DD-9B15-814100CD24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D25D88A2-2916-499E-8607-46347CFE99EE}"/>
  </w:font>
  <w:font w:name="Arial Unicode MS">
    <w:panose1 w:val="020B0604020202020204"/>
    <w:charset w:val="86"/>
    <w:family w:val="roman"/>
    <w:pitch w:val="default"/>
    <w:sig w:usb0="FFFFFFFF" w:usb1="E9FFFFFF" w:usb2="0000003F" w:usb3="00000000" w:csb0="603F01FF" w:csb1="FFFF0000"/>
    <w:embedRegular r:id="rId4" w:fontKey="{49B2A3FE-FC7B-44BD-BE0D-54F6F49BBDD0}"/>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89B644B8-7B40-49C5-8375-28B6E8BA5F2E}"/>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E548A838-DD88-40D8-AF09-F7B909B0BE05}"/>
  </w:font>
  <w:font w:name="方正黑体_GBK">
    <w:panose1 w:val="03000509000000000000"/>
    <w:charset w:val="86"/>
    <w:family w:val="script"/>
    <w:pitch w:val="default"/>
    <w:sig w:usb0="00000001" w:usb1="080E0000" w:usb2="00000000" w:usb3="00000000" w:csb0="00040000" w:csb1="00000000"/>
    <w:embedRegular r:id="rId7" w:fontKey="{5FD6FF12-9119-46D5-8D9D-1435386168F6}"/>
  </w:font>
  <w:font w:name="方正小标宋_GBK">
    <w:panose1 w:val="02000000000000000000"/>
    <w:charset w:val="86"/>
    <w:family w:val="script"/>
    <w:pitch w:val="default"/>
    <w:sig w:usb0="A00002BF" w:usb1="38CF7CFA" w:usb2="00082016" w:usb3="00000000" w:csb0="00040001" w:csb1="00000000"/>
    <w:embedRegular r:id="rId8" w:fontKey="{0B54AFFC-09C7-4582-BD54-E78F8AB9CA82}"/>
  </w:font>
  <w:font w:name="微软雅黑">
    <w:panose1 w:val="020B0503020204020204"/>
    <w:charset w:val="86"/>
    <w:family w:val="swiss"/>
    <w:pitch w:val="default"/>
    <w:sig w:usb0="80000287" w:usb1="2ACF3C50" w:usb2="00000016" w:usb3="00000000" w:csb0="0004001F" w:csb1="00000000"/>
    <w:embedRegular r:id="rId9" w:fontKey="{96617BB9-DFE4-4EFE-9B2F-50B662DF02CD}"/>
  </w:font>
  <w:font w:name="仿宋">
    <w:panose1 w:val="02010609060101010101"/>
    <w:charset w:val="86"/>
    <w:family w:val="modern"/>
    <w:pitch w:val="default"/>
    <w:sig w:usb0="800002BF" w:usb1="38CF7CFA" w:usb2="00000016" w:usb3="00000000" w:csb0="00040001" w:csb1="00000000"/>
    <w:embedRegular r:id="rId10" w:fontKey="{38B76547-9074-4A29-8741-930D0D4BAE10}"/>
  </w:font>
  <w:font w:name="WPSEMBED18">
    <w:panose1 w:val="02000000000000000000"/>
    <w:charset w:val="86"/>
    <w:family w:val="auto"/>
    <w:pitch w:val="default"/>
    <w:sig w:usb0="A00002BF" w:usb1="38CF7CFA" w:usb2="00082016" w:usb3="00000000" w:csb0="00040001" w:csb1="00000000"/>
  </w:font>
  <w:font w:name="WPSEMBED19">
    <w:panose1 w:val="03000509000000000000"/>
    <w:charset w:val="86"/>
    <w:family w:val="auto"/>
    <w:pitch w:val="default"/>
    <w:sig w:usb0="00000001" w:usb1="080E0000" w:usb2="00000000" w:usb3="00000000" w:csb0="00040000" w:csb1="00000000"/>
  </w:font>
  <w:font w:name="WPSEMBED16">
    <w:panose1 w:val="02010609030101010101"/>
    <w:charset w:val="86"/>
    <w:family w:val="auto"/>
    <w:pitch w:val="default"/>
    <w:sig w:usb0="00000001" w:usb1="080E0000" w:usb2="00000000" w:usb3="00000000" w:csb0="00040000" w:csb1="00000000"/>
  </w:font>
  <w:font w:name="WPSEMBED20">
    <w:panose1 w:val="02000000000000000000"/>
    <w:charset w:val="86"/>
    <w:family w:val="auto"/>
    <w:pitch w:val="default"/>
    <w:sig w:usb0="A00002BF" w:usb1="38CF7CFA" w:usb2="00082016" w:usb3="00000000" w:csb0="00040001" w:csb1="00000000"/>
  </w:font>
  <w:font w:name="WPSEMBED17">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924FA6"/>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5524</Words>
  <Characters>5664</Characters>
  <Lines>101</Lines>
  <Paragraphs>28</Paragraphs>
  <TotalTime>0</TotalTime>
  <ScaleCrop>false</ScaleCrop>
  <LinksUpToDate>false</LinksUpToDate>
  <CharactersWithSpaces>5959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2026-08-11T08:08:57Z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