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31066"/>
      <w:bookmarkStart w:id="1" w:name="_Toc76373863"/>
      <w:bookmarkStart w:id="2" w:name="_Toc10059"/>
      <w:bookmarkStart w:id="3" w:name="_Toc13868"/>
      <w:bookmarkStart w:id="4" w:name="_Toc1304"/>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6417"/>
      <w:bookmarkStart w:id="6" w:name="_Toc10781"/>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76373864"/>
      <w:bookmarkStart w:id="8" w:name="_Toc28264"/>
      <w:bookmarkStart w:id="9" w:name="_Toc15376"/>
      <w:bookmarkStart w:id="10" w:name="_Toc5909"/>
      <w:bookmarkStart w:id="11" w:name="_Toc22435"/>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2239EB9F">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rPr>
        <w:t>项目名称：一次性使用无菌梅花头导尿引流管</w:t>
      </w:r>
      <w:r>
        <w:rPr>
          <w:rFonts w:hint="eastAsia" w:ascii="宋体" w:hAnsi="宋体" w:cs="宋体"/>
          <w:i w:val="0"/>
          <w:iCs w:val="0"/>
          <w:color w:val="000000"/>
          <w:kern w:val="0"/>
          <w:sz w:val="24"/>
          <w:szCs w:val="24"/>
          <w:u w:val="none"/>
          <w:lang w:val="en-US" w:eastAsia="zh-CN" w:bidi="ar"/>
        </w:rPr>
        <w:t>等</w:t>
      </w:r>
    </w:p>
    <w:p w14:paraId="5DBFDCF7">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81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884"/>
        <w:gridCol w:w="2971"/>
        <w:gridCol w:w="1080"/>
        <w:gridCol w:w="1080"/>
        <w:gridCol w:w="1080"/>
      </w:tblGrid>
      <w:tr w14:paraId="1D0EF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1080" w:type="dxa"/>
            <w:tcBorders>
              <w:top w:val="single" w:color="000000" w:sz="4" w:space="0"/>
              <w:left w:val="single" w:color="000000" w:sz="4" w:space="0"/>
              <w:bottom w:val="single" w:color="auto" w:sz="4" w:space="0"/>
              <w:right w:val="single" w:color="000000" w:sz="4" w:space="0"/>
            </w:tcBorders>
            <w:shd w:val="clear" w:color="auto" w:fill="auto"/>
            <w:vAlign w:val="center"/>
          </w:tcPr>
          <w:p w14:paraId="64B23E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bookmarkStart w:id="14" w:name="_Toc22129"/>
            <w:bookmarkStart w:id="15" w:name="_Toc18060"/>
            <w:bookmarkStart w:id="16" w:name="_Toc5838"/>
            <w:bookmarkStart w:id="17" w:name="_Toc22707"/>
            <w:bookmarkStart w:id="18" w:name="_Toc76373865"/>
            <w:r>
              <w:rPr>
                <w:rFonts w:hint="eastAsia" w:ascii="宋体" w:hAnsi="宋体" w:eastAsia="宋体" w:cs="宋体"/>
                <w:i w:val="0"/>
                <w:iCs w:val="0"/>
                <w:color w:val="000000"/>
                <w:kern w:val="0"/>
                <w:sz w:val="24"/>
                <w:szCs w:val="24"/>
                <w:u w:val="none"/>
                <w:lang w:val="en-US" w:eastAsia="zh-CN" w:bidi="ar"/>
              </w:rPr>
              <w:t>包号</w:t>
            </w:r>
          </w:p>
        </w:tc>
        <w:tc>
          <w:tcPr>
            <w:tcW w:w="8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1EFFF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分项明细</w:t>
            </w:r>
          </w:p>
        </w:tc>
        <w:tc>
          <w:tcPr>
            <w:tcW w:w="2971" w:type="dxa"/>
            <w:tcBorders>
              <w:top w:val="single" w:color="000000" w:sz="4" w:space="0"/>
              <w:left w:val="single" w:color="000000" w:sz="4" w:space="0"/>
              <w:bottom w:val="single" w:color="auto" w:sz="4" w:space="0"/>
              <w:right w:val="single" w:color="000000" w:sz="4" w:space="0"/>
            </w:tcBorders>
            <w:shd w:val="clear" w:color="auto" w:fill="auto"/>
            <w:vAlign w:val="center"/>
          </w:tcPr>
          <w:p w14:paraId="7B5E8A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080" w:type="dxa"/>
            <w:tcBorders>
              <w:top w:val="single" w:color="000000" w:sz="4" w:space="0"/>
              <w:left w:val="single" w:color="000000" w:sz="4" w:space="0"/>
              <w:bottom w:val="single" w:color="auto" w:sz="4" w:space="0"/>
              <w:right w:val="single" w:color="000000" w:sz="4" w:space="0"/>
            </w:tcBorders>
            <w:shd w:val="clear" w:color="auto" w:fill="auto"/>
            <w:vAlign w:val="center"/>
          </w:tcPr>
          <w:p w14:paraId="5945A8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采购数量</w:t>
            </w:r>
          </w:p>
        </w:tc>
        <w:tc>
          <w:tcPr>
            <w:tcW w:w="1080" w:type="dxa"/>
            <w:tcBorders>
              <w:top w:val="single" w:color="000000" w:sz="4" w:space="0"/>
              <w:left w:val="single" w:color="000000" w:sz="4" w:space="0"/>
              <w:bottom w:val="single" w:color="auto" w:sz="4" w:space="0"/>
              <w:right w:val="single" w:color="000000" w:sz="4" w:space="0"/>
            </w:tcBorders>
            <w:shd w:val="clear" w:color="auto" w:fill="auto"/>
            <w:vAlign w:val="center"/>
          </w:tcPr>
          <w:p w14:paraId="2738D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成交供应商/品牌(个）</w:t>
            </w:r>
          </w:p>
        </w:tc>
        <w:tc>
          <w:tcPr>
            <w:tcW w:w="1080" w:type="dxa"/>
            <w:tcBorders>
              <w:top w:val="single" w:color="000000" w:sz="4" w:space="0"/>
              <w:left w:val="single" w:color="000000" w:sz="4" w:space="0"/>
              <w:bottom w:val="single" w:color="auto" w:sz="4" w:space="0"/>
              <w:right w:val="single" w:color="000000" w:sz="4" w:space="0"/>
            </w:tcBorders>
            <w:shd w:val="clear" w:color="auto" w:fill="auto"/>
            <w:vAlign w:val="center"/>
          </w:tcPr>
          <w:p w14:paraId="6ACD0E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需求科室</w:t>
            </w:r>
          </w:p>
        </w:tc>
      </w:tr>
      <w:tr w14:paraId="04D76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0" w:type="auto"/>
            <w:tcBorders>
              <w:top w:val="single" w:color="auto" w:sz="4" w:space="0"/>
              <w:left w:val="single" w:color="auto" w:sz="4" w:space="0"/>
              <w:bottom w:val="single" w:color="000000" w:sz="4" w:space="0"/>
              <w:right w:val="single" w:color="000000" w:sz="4" w:space="0"/>
            </w:tcBorders>
            <w:shd w:val="clear" w:color="auto" w:fill="auto"/>
            <w:noWrap/>
            <w:vAlign w:val="center"/>
          </w:tcPr>
          <w:p w14:paraId="2CEBB0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包六</w:t>
            </w:r>
          </w:p>
        </w:tc>
        <w:tc>
          <w:tcPr>
            <w:tcW w:w="884"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AC1A7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71" w:type="dxa"/>
            <w:tcBorders>
              <w:top w:val="single" w:color="auto" w:sz="4" w:space="0"/>
              <w:left w:val="single" w:color="000000" w:sz="4" w:space="0"/>
              <w:bottom w:val="single" w:color="000000" w:sz="4" w:space="0"/>
              <w:right w:val="single" w:color="000000" w:sz="4" w:space="0"/>
            </w:tcBorders>
            <w:shd w:val="clear" w:color="auto" w:fill="auto"/>
            <w:vAlign w:val="center"/>
          </w:tcPr>
          <w:p w14:paraId="043BC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一次性使用无菌梅花头导尿引流管</w:t>
            </w:r>
          </w:p>
        </w:tc>
        <w:tc>
          <w:tcPr>
            <w:tcW w:w="1080" w:type="dxa"/>
            <w:vMerge w:val="restart"/>
            <w:tcBorders>
              <w:top w:val="single" w:color="auto" w:sz="4" w:space="0"/>
              <w:left w:val="single" w:color="000000" w:sz="4" w:space="0"/>
              <w:right w:val="single" w:color="000000" w:sz="4" w:space="0"/>
            </w:tcBorders>
            <w:shd w:val="clear" w:color="auto" w:fill="auto"/>
            <w:vAlign w:val="center"/>
          </w:tcPr>
          <w:p w14:paraId="47D76EC0">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按需采购</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35AFAE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80" w:type="dxa"/>
            <w:vMerge w:val="restart"/>
            <w:tcBorders>
              <w:top w:val="single" w:color="auto" w:sz="4" w:space="0"/>
              <w:left w:val="single" w:color="000000" w:sz="4" w:space="0"/>
              <w:right w:val="single" w:color="auto" w:sz="4" w:space="0"/>
            </w:tcBorders>
            <w:shd w:val="clear" w:color="auto" w:fill="auto"/>
            <w:vAlign w:val="center"/>
          </w:tcPr>
          <w:p w14:paraId="6BF7A718">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全院</w:t>
            </w:r>
          </w:p>
        </w:tc>
      </w:tr>
      <w:tr w14:paraId="3CDC2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restart"/>
            <w:tcBorders>
              <w:top w:val="single" w:color="000000" w:sz="4" w:space="0"/>
              <w:left w:val="single" w:color="auto" w:sz="4" w:space="0"/>
              <w:bottom w:val="single" w:color="000000" w:sz="4" w:space="0"/>
              <w:right w:val="single" w:color="000000" w:sz="4" w:space="0"/>
            </w:tcBorders>
            <w:shd w:val="clear" w:color="auto" w:fill="auto"/>
            <w:noWrap/>
            <w:vAlign w:val="center"/>
          </w:tcPr>
          <w:p w14:paraId="6D46DE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包十</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2ED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F4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听诊器</w:t>
            </w:r>
          </w:p>
        </w:tc>
        <w:tc>
          <w:tcPr>
            <w:tcW w:w="1080" w:type="dxa"/>
            <w:vMerge w:val="continue"/>
            <w:tcBorders>
              <w:left w:val="single" w:color="000000" w:sz="4" w:space="0"/>
              <w:right w:val="single" w:color="000000" w:sz="4" w:space="0"/>
            </w:tcBorders>
            <w:shd w:val="clear" w:color="auto" w:fill="auto"/>
            <w:vAlign w:val="center"/>
          </w:tcPr>
          <w:p w14:paraId="16E47412">
            <w:pPr>
              <w:jc w:val="center"/>
              <w:rPr>
                <w:rFonts w:hint="eastAsia" w:ascii="宋体" w:hAnsi="宋体" w:eastAsia="宋体" w:cs="宋体"/>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F4C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80" w:type="dxa"/>
            <w:vMerge w:val="continue"/>
            <w:tcBorders>
              <w:left w:val="single" w:color="000000" w:sz="4" w:space="0"/>
              <w:right w:val="single" w:color="auto" w:sz="4" w:space="0"/>
            </w:tcBorders>
            <w:shd w:val="clear" w:color="auto" w:fill="auto"/>
            <w:vAlign w:val="center"/>
          </w:tcPr>
          <w:p w14:paraId="2EF11148">
            <w:pPr>
              <w:jc w:val="center"/>
              <w:rPr>
                <w:rFonts w:hint="eastAsia" w:ascii="宋体" w:hAnsi="宋体" w:eastAsia="宋体" w:cs="宋体"/>
                <w:i w:val="0"/>
                <w:iCs w:val="0"/>
                <w:color w:val="000000"/>
                <w:sz w:val="24"/>
                <w:szCs w:val="24"/>
                <w:u w:val="none"/>
              </w:rPr>
            </w:pPr>
          </w:p>
        </w:tc>
      </w:tr>
      <w:tr w14:paraId="1BB08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797966CF">
            <w:pPr>
              <w:jc w:val="center"/>
              <w:rPr>
                <w:rFonts w:hint="eastAsia" w:ascii="宋体" w:hAnsi="宋体" w:eastAsia="宋体" w:cs="宋体"/>
                <w:i w:val="0"/>
                <w:iCs w:val="0"/>
                <w:color w:val="000000"/>
                <w:sz w:val="22"/>
                <w:szCs w:val="22"/>
                <w:u w:val="none"/>
              </w:rPr>
            </w:pP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D54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5DC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电子血压计</w:t>
            </w:r>
          </w:p>
        </w:tc>
        <w:tc>
          <w:tcPr>
            <w:tcW w:w="1080" w:type="dxa"/>
            <w:vMerge w:val="continue"/>
            <w:tcBorders>
              <w:left w:val="single" w:color="000000" w:sz="4" w:space="0"/>
              <w:right w:val="single" w:color="000000" w:sz="4" w:space="0"/>
            </w:tcBorders>
            <w:shd w:val="clear" w:color="auto" w:fill="auto"/>
            <w:vAlign w:val="center"/>
          </w:tcPr>
          <w:p w14:paraId="084C4F9A">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1E6BA">
            <w:pPr>
              <w:jc w:val="center"/>
              <w:rPr>
                <w:rFonts w:hint="eastAsia" w:ascii="宋体" w:hAnsi="宋体" w:eastAsia="宋体" w:cs="宋体"/>
                <w:i w:val="0"/>
                <w:iCs w:val="0"/>
                <w:color w:val="000000"/>
                <w:sz w:val="22"/>
                <w:szCs w:val="22"/>
                <w:u w:val="none"/>
              </w:rPr>
            </w:pPr>
          </w:p>
        </w:tc>
        <w:tc>
          <w:tcPr>
            <w:tcW w:w="1080" w:type="dxa"/>
            <w:vMerge w:val="continue"/>
            <w:tcBorders>
              <w:left w:val="single" w:color="000000" w:sz="4" w:space="0"/>
              <w:right w:val="single" w:color="auto" w:sz="4" w:space="0"/>
            </w:tcBorders>
            <w:shd w:val="clear" w:color="auto" w:fill="auto"/>
            <w:vAlign w:val="center"/>
          </w:tcPr>
          <w:p w14:paraId="311A516A">
            <w:pPr>
              <w:jc w:val="center"/>
              <w:rPr>
                <w:rFonts w:hint="eastAsia" w:ascii="宋体" w:hAnsi="宋体" w:eastAsia="宋体" w:cs="宋体"/>
                <w:i w:val="0"/>
                <w:iCs w:val="0"/>
                <w:color w:val="000000"/>
                <w:sz w:val="24"/>
                <w:szCs w:val="24"/>
                <w:u w:val="none"/>
              </w:rPr>
            </w:pPr>
          </w:p>
        </w:tc>
      </w:tr>
      <w:tr w14:paraId="58366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6ACEC569">
            <w:pPr>
              <w:jc w:val="center"/>
              <w:rPr>
                <w:rFonts w:hint="eastAsia" w:ascii="宋体" w:hAnsi="宋体" w:eastAsia="宋体" w:cs="宋体"/>
                <w:i w:val="0"/>
                <w:iCs w:val="0"/>
                <w:color w:val="000000"/>
                <w:sz w:val="22"/>
                <w:szCs w:val="22"/>
                <w:u w:val="none"/>
              </w:rPr>
            </w:pP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586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A9A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电子血压计袖带</w:t>
            </w:r>
          </w:p>
        </w:tc>
        <w:tc>
          <w:tcPr>
            <w:tcW w:w="1080" w:type="dxa"/>
            <w:vMerge w:val="continue"/>
            <w:tcBorders>
              <w:left w:val="single" w:color="000000" w:sz="4" w:space="0"/>
              <w:right w:val="single" w:color="000000" w:sz="4" w:space="0"/>
            </w:tcBorders>
            <w:shd w:val="clear" w:color="auto" w:fill="auto"/>
            <w:vAlign w:val="center"/>
          </w:tcPr>
          <w:p w14:paraId="723AEDDA">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000F7">
            <w:pPr>
              <w:jc w:val="center"/>
              <w:rPr>
                <w:rFonts w:hint="eastAsia" w:ascii="宋体" w:hAnsi="宋体" w:eastAsia="宋体" w:cs="宋体"/>
                <w:i w:val="0"/>
                <w:iCs w:val="0"/>
                <w:color w:val="000000"/>
                <w:sz w:val="22"/>
                <w:szCs w:val="22"/>
                <w:u w:val="none"/>
              </w:rPr>
            </w:pPr>
          </w:p>
        </w:tc>
        <w:tc>
          <w:tcPr>
            <w:tcW w:w="1080" w:type="dxa"/>
            <w:vMerge w:val="continue"/>
            <w:tcBorders>
              <w:left w:val="single" w:color="000000" w:sz="4" w:space="0"/>
              <w:right w:val="single" w:color="auto" w:sz="4" w:space="0"/>
            </w:tcBorders>
            <w:shd w:val="clear" w:color="auto" w:fill="auto"/>
            <w:vAlign w:val="center"/>
          </w:tcPr>
          <w:p w14:paraId="54BF169F">
            <w:pPr>
              <w:jc w:val="center"/>
              <w:rPr>
                <w:rFonts w:hint="eastAsia" w:ascii="宋体" w:hAnsi="宋体" w:eastAsia="宋体" w:cs="宋体"/>
                <w:i w:val="0"/>
                <w:iCs w:val="0"/>
                <w:color w:val="000000"/>
                <w:sz w:val="24"/>
                <w:szCs w:val="24"/>
                <w:u w:val="none"/>
              </w:rPr>
            </w:pPr>
          </w:p>
        </w:tc>
      </w:tr>
      <w:tr w14:paraId="66FFF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699CA47D">
            <w:pPr>
              <w:jc w:val="center"/>
              <w:rPr>
                <w:rFonts w:hint="eastAsia" w:ascii="宋体" w:hAnsi="宋体" w:eastAsia="宋体" w:cs="宋体"/>
                <w:i w:val="0"/>
                <w:iCs w:val="0"/>
                <w:color w:val="000000"/>
                <w:sz w:val="22"/>
                <w:szCs w:val="22"/>
                <w:u w:val="none"/>
              </w:rPr>
            </w:pP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1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2B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非接触式红外体温计</w:t>
            </w:r>
          </w:p>
        </w:tc>
        <w:tc>
          <w:tcPr>
            <w:tcW w:w="1080" w:type="dxa"/>
            <w:vMerge w:val="continue"/>
            <w:tcBorders>
              <w:left w:val="single" w:color="000000" w:sz="4" w:space="0"/>
              <w:right w:val="single" w:color="000000" w:sz="4" w:space="0"/>
            </w:tcBorders>
            <w:shd w:val="clear" w:color="auto" w:fill="auto"/>
            <w:vAlign w:val="center"/>
          </w:tcPr>
          <w:p w14:paraId="63C0BB56">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7A0BC">
            <w:pPr>
              <w:jc w:val="center"/>
              <w:rPr>
                <w:rFonts w:hint="eastAsia" w:ascii="宋体" w:hAnsi="宋体" w:eastAsia="宋体" w:cs="宋体"/>
                <w:i w:val="0"/>
                <w:iCs w:val="0"/>
                <w:color w:val="000000"/>
                <w:sz w:val="22"/>
                <w:szCs w:val="22"/>
                <w:u w:val="none"/>
              </w:rPr>
            </w:pPr>
          </w:p>
        </w:tc>
        <w:tc>
          <w:tcPr>
            <w:tcW w:w="1080" w:type="dxa"/>
            <w:vMerge w:val="continue"/>
            <w:tcBorders>
              <w:left w:val="single" w:color="000000" w:sz="4" w:space="0"/>
              <w:right w:val="single" w:color="auto" w:sz="4" w:space="0"/>
            </w:tcBorders>
            <w:shd w:val="clear" w:color="auto" w:fill="auto"/>
            <w:vAlign w:val="center"/>
          </w:tcPr>
          <w:p w14:paraId="7F3D2074">
            <w:pPr>
              <w:jc w:val="center"/>
              <w:rPr>
                <w:rFonts w:hint="eastAsia" w:ascii="宋体" w:hAnsi="宋体" w:eastAsia="宋体" w:cs="宋体"/>
                <w:i w:val="0"/>
                <w:iCs w:val="0"/>
                <w:color w:val="000000"/>
                <w:sz w:val="24"/>
                <w:szCs w:val="24"/>
                <w:u w:val="none"/>
              </w:rPr>
            </w:pPr>
          </w:p>
        </w:tc>
      </w:tr>
      <w:tr w14:paraId="1D39F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2A848EFB">
            <w:pPr>
              <w:jc w:val="center"/>
              <w:rPr>
                <w:rFonts w:hint="eastAsia" w:ascii="宋体" w:hAnsi="宋体" w:eastAsia="宋体" w:cs="宋体"/>
                <w:i w:val="0"/>
                <w:iCs w:val="0"/>
                <w:color w:val="000000"/>
                <w:sz w:val="22"/>
                <w:szCs w:val="22"/>
                <w:u w:val="none"/>
              </w:rPr>
            </w:pP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111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2A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玻璃体温计</w:t>
            </w:r>
          </w:p>
        </w:tc>
        <w:tc>
          <w:tcPr>
            <w:tcW w:w="1080" w:type="dxa"/>
            <w:vMerge w:val="continue"/>
            <w:tcBorders>
              <w:left w:val="single" w:color="000000" w:sz="4" w:space="0"/>
              <w:right w:val="single" w:color="000000" w:sz="4" w:space="0"/>
            </w:tcBorders>
            <w:shd w:val="clear" w:color="auto" w:fill="auto"/>
            <w:vAlign w:val="center"/>
          </w:tcPr>
          <w:p w14:paraId="6C2C51D6">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B3403">
            <w:pPr>
              <w:jc w:val="center"/>
              <w:rPr>
                <w:rFonts w:hint="eastAsia" w:ascii="宋体" w:hAnsi="宋体" w:eastAsia="宋体" w:cs="宋体"/>
                <w:i w:val="0"/>
                <w:iCs w:val="0"/>
                <w:color w:val="000000"/>
                <w:sz w:val="22"/>
                <w:szCs w:val="22"/>
                <w:u w:val="none"/>
              </w:rPr>
            </w:pPr>
          </w:p>
        </w:tc>
        <w:tc>
          <w:tcPr>
            <w:tcW w:w="1080" w:type="dxa"/>
            <w:vMerge w:val="continue"/>
            <w:tcBorders>
              <w:left w:val="single" w:color="000000" w:sz="4" w:space="0"/>
              <w:right w:val="single" w:color="auto" w:sz="4" w:space="0"/>
            </w:tcBorders>
            <w:shd w:val="clear" w:color="auto" w:fill="auto"/>
            <w:vAlign w:val="center"/>
          </w:tcPr>
          <w:p w14:paraId="2634D7B4">
            <w:pPr>
              <w:jc w:val="center"/>
              <w:rPr>
                <w:rFonts w:hint="eastAsia" w:ascii="宋体" w:hAnsi="宋体" w:eastAsia="宋体" w:cs="宋体"/>
                <w:i w:val="0"/>
                <w:iCs w:val="0"/>
                <w:color w:val="000000"/>
                <w:sz w:val="24"/>
                <w:szCs w:val="24"/>
                <w:u w:val="none"/>
              </w:rPr>
            </w:pPr>
          </w:p>
        </w:tc>
      </w:tr>
      <w:tr w14:paraId="12A64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auto" w:sz="4" w:space="0"/>
              <w:bottom w:val="single" w:color="auto" w:sz="4" w:space="0"/>
              <w:right w:val="single" w:color="000000" w:sz="4" w:space="0"/>
            </w:tcBorders>
            <w:shd w:val="clear" w:color="auto" w:fill="auto"/>
            <w:noWrap/>
            <w:vAlign w:val="center"/>
          </w:tcPr>
          <w:p w14:paraId="47F56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包十五</w:t>
            </w:r>
          </w:p>
        </w:tc>
        <w:tc>
          <w:tcPr>
            <w:tcW w:w="88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22D9B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71" w:type="dxa"/>
            <w:tcBorders>
              <w:top w:val="single" w:color="000000" w:sz="4" w:space="0"/>
              <w:left w:val="single" w:color="000000" w:sz="4" w:space="0"/>
              <w:bottom w:val="single" w:color="auto" w:sz="4" w:space="0"/>
              <w:right w:val="single" w:color="000000" w:sz="4" w:space="0"/>
            </w:tcBorders>
            <w:shd w:val="clear" w:color="auto" w:fill="auto"/>
            <w:vAlign w:val="center"/>
          </w:tcPr>
          <w:p w14:paraId="43D01A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脂质水胶敷料</w:t>
            </w:r>
          </w:p>
        </w:tc>
        <w:tc>
          <w:tcPr>
            <w:tcW w:w="1080" w:type="dxa"/>
            <w:vMerge w:val="continue"/>
            <w:tcBorders>
              <w:left w:val="single" w:color="000000" w:sz="4" w:space="0"/>
              <w:bottom w:val="single" w:color="auto" w:sz="4" w:space="0"/>
              <w:right w:val="single" w:color="000000" w:sz="4" w:space="0"/>
            </w:tcBorders>
            <w:shd w:val="clear" w:color="auto" w:fill="auto"/>
            <w:vAlign w:val="center"/>
          </w:tcPr>
          <w:p w14:paraId="6A6AD66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4F54B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80" w:type="dxa"/>
            <w:vMerge w:val="continue"/>
            <w:tcBorders>
              <w:left w:val="single" w:color="000000" w:sz="4" w:space="0"/>
              <w:bottom w:val="single" w:color="auto" w:sz="4" w:space="0"/>
              <w:right w:val="single" w:color="auto" w:sz="4" w:space="0"/>
            </w:tcBorders>
            <w:shd w:val="clear" w:color="auto" w:fill="auto"/>
            <w:vAlign w:val="center"/>
          </w:tcPr>
          <w:p w14:paraId="22E20F3C">
            <w:pPr>
              <w:jc w:val="center"/>
              <w:rPr>
                <w:rFonts w:hint="eastAsia" w:ascii="宋体" w:hAnsi="宋体" w:eastAsia="宋体" w:cs="宋体"/>
                <w:i w:val="0"/>
                <w:iCs w:val="0"/>
                <w:color w:val="000000"/>
                <w:sz w:val="24"/>
                <w:szCs w:val="24"/>
                <w:u w:val="none"/>
              </w:rPr>
            </w:pPr>
          </w:p>
        </w:tc>
      </w:tr>
    </w:tbl>
    <w:p w14:paraId="5F8E83AD">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rPr>
        <w:t>注：</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1A22AB3A">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0A4C3E50">
      <w:pPr>
        <w:pStyle w:val="22"/>
        <w:ind w:firstLine="480" w:firstLineChars="200"/>
        <w:rPr>
          <w:rFonts w:hint="eastAsia" w:ascii="宋体" w:hAnsi="宋体" w:eastAsia="宋体" w:cs="宋体"/>
          <w:i w:val="0"/>
          <w:color w:val="auto"/>
          <w:kern w:val="2"/>
          <w:sz w:val="24"/>
          <w:szCs w:val="24"/>
          <w:lang w:val="en-US" w:eastAsia="zh-CN" w:bidi="ar-SA"/>
        </w:rPr>
      </w:pPr>
      <w:r>
        <w:rPr>
          <w:rFonts w:hint="eastAsia" w:ascii="宋体" w:hAnsi="宋体" w:eastAsia="宋体" w:cs="宋体"/>
          <w:color w:val="auto"/>
          <w:sz w:val="24"/>
          <w:szCs w:val="24"/>
          <w:lang w:val="en-US" w:eastAsia="zh-CN"/>
        </w:rPr>
        <w:t>4.本项目仅支持采购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p w14:paraId="5A1C03B4">
      <w:pPr>
        <w:pStyle w:val="23"/>
        <w:ind w:left="0" w:leftChars="0" w:firstLine="480" w:firstLineChars="200"/>
        <w:jc w:val="both"/>
        <w:rPr>
          <w:rFonts w:hint="default"/>
          <w:lang w:val="en-US" w:eastAsia="zh-CN"/>
        </w:rPr>
      </w:pPr>
      <w:r>
        <w:rPr>
          <w:rFonts w:hint="eastAsia" w:ascii="宋体" w:hAnsi="宋体" w:cs="宋体"/>
          <w:i w:val="0"/>
          <w:color w:val="auto"/>
          <w:kern w:val="2"/>
          <w:sz w:val="24"/>
          <w:szCs w:val="24"/>
          <w:lang w:val="en-US" w:eastAsia="zh-CN" w:bidi="ar-SA"/>
        </w:rPr>
        <w:t>5.以上项目为合同过期重新采购。</w:t>
      </w:r>
    </w:p>
    <w:bookmarkEnd w:id="14"/>
    <w:bookmarkEnd w:id="15"/>
    <w:bookmarkEnd w:id="16"/>
    <w:bookmarkEnd w:id="17"/>
    <w:bookmarkEnd w:id="18"/>
    <w:p w14:paraId="67FFECAF">
      <w:pPr>
        <w:pStyle w:val="22"/>
        <w:rPr>
          <w:rFonts w:hint="eastAsia"/>
          <w:color w:val="auto"/>
        </w:rPr>
      </w:pPr>
      <w:bookmarkStart w:id="19" w:name="_Toc30358"/>
      <w:bookmarkStart w:id="20" w:name="_Toc10137"/>
      <w:bookmarkStart w:id="21" w:name="_Toc3434"/>
      <w:bookmarkStart w:id="22" w:name="_Toc25496"/>
      <w:bookmarkStart w:id="23" w:name="_Toc26504"/>
      <w:bookmarkStart w:id="24" w:name="_Toc76373866"/>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0112E669">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560008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1B90BED1">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4FDFB2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68A15C7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58285B8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26B41A2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6949B9C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3DD62BE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228D9161">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DF6004C">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76668EFA">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B2F803">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74E2733E">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44845AA0">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197970D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0F1BE41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7D0821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3D3FC69C">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8179A0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BB4DA5D">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7C5100C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0516326B">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07933573">
      <w:pPr>
        <w:widowControl/>
        <w:spacing w:line="400" w:lineRule="exact"/>
        <w:outlineLvl w:val="1"/>
        <w:rPr>
          <w:rFonts w:hint="eastAsia" w:ascii="宋体" w:hAnsi="宋体" w:cs="宋体"/>
          <w:b/>
          <w:bCs/>
          <w:color w:val="auto"/>
          <w:sz w:val="24"/>
          <w:szCs w:val="24"/>
        </w:rPr>
      </w:pPr>
      <w:bookmarkStart w:id="28" w:name="_Toc6749"/>
      <w:bookmarkStart w:id="29" w:name="_Toc17341"/>
      <w:bookmarkStart w:id="30" w:name="_Toc654"/>
      <w:bookmarkStart w:id="31" w:name="_Toc28099"/>
      <w:bookmarkStart w:id="32" w:name="_Toc7527"/>
      <w:bookmarkStart w:id="33" w:name="_Toc18799"/>
      <w:r>
        <w:rPr>
          <w:rFonts w:hint="eastAsia" w:ascii="宋体" w:hAnsi="宋体" w:cs="宋体"/>
          <w:b/>
          <w:bCs/>
          <w:color w:val="auto"/>
          <w:sz w:val="24"/>
          <w:szCs w:val="24"/>
        </w:rPr>
        <w:t>四、报名时间、地点、方式</w:t>
      </w:r>
      <w:bookmarkEnd w:id="28"/>
      <w:bookmarkEnd w:id="29"/>
    </w:p>
    <w:p w14:paraId="2A83625A">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6E9F68F9">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3946367709@qq.com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全院</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全院</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48A0FD28">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03F602C4">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A20BE9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18BE2071">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65597D3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7"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8"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8"/>
      <w:r>
        <w:rPr>
          <w:rFonts w:hint="eastAsia" w:ascii="宋体" w:hAnsi="宋体" w:eastAsia="宋体" w:cs="宋体"/>
          <w:color w:val="auto"/>
          <w:sz w:val="24"/>
          <w:szCs w:val="24"/>
          <w:lang w:eastAsia="zh-CN"/>
        </w:rPr>
        <w:t>。</w:t>
      </w:r>
      <w:bookmarkEnd w:id="37"/>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4DA7D3D1">
      <w:pPr>
        <w:widowControl/>
        <w:spacing w:line="400" w:lineRule="exact"/>
        <w:outlineLvl w:val="1"/>
        <w:rPr>
          <w:rFonts w:hint="eastAsia" w:ascii="宋体" w:hAnsi="宋体" w:cs="宋体"/>
          <w:b/>
          <w:color w:val="auto"/>
          <w:sz w:val="24"/>
        </w:rPr>
      </w:pPr>
      <w:bookmarkStart w:id="39" w:name="_Toc18950"/>
      <w:bookmarkStart w:id="40" w:name="_Toc768"/>
      <w:r>
        <w:rPr>
          <w:rFonts w:hint="eastAsia" w:ascii="宋体" w:hAnsi="宋体" w:cs="宋体"/>
          <w:b/>
          <w:color w:val="auto"/>
          <w:sz w:val="24"/>
        </w:rPr>
        <w:t>五、竞选文件递交与采购谈判时间、地点</w:t>
      </w:r>
      <w:bookmarkEnd w:id="39"/>
      <w:bookmarkEnd w:id="40"/>
    </w:p>
    <w:p w14:paraId="126DE34B">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7A91567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74ED9F2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5ECEB14A">
      <w:pPr>
        <w:widowControl/>
        <w:spacing w:line="400" w:lineRule="exact"/>
        <w:outlineLvl w:val="1"/>
        <w:rPr>
          <w:rFonts w:hint="eastAsia" w:ascii="宋体" w:hAnsi="宋体" w:cs="宋体"/>
          <w:b/>
          <w:color w:val="auto"/>
          <w:sz w:val="24"/>
        </w:rPr>
      </w:pPr>
      <w:bookmarkStart w:id="41" w:name="_Toc829"/>
      <w:r>
        <w:rPr>
          <w:rFonts w:hint="eastAsia" w:ascii="宋体" w:hAnsi="宋体" w:cs="宋体"/>
          <w:b/>
          <w:color w:val="auto"/>
          <w:sz w:val="24"/>
        </w:rPr>
        <w:t>六、联系方式</w:t>
      </w:r>
      <w:bookmarkEnd w:id="34"/>
      <w:bookmarkEnd w:id="41"/>
    </w:p>
    <w:p w14:paraId="13014C5B">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陈</w:t>
      </w:r>
      <w:r>
        <w:rPr>
          <w:rFonts w:hint="eastAsia" w:ascii="宋体" w:hAnsi="宋体" w:eastAsia="宋体" w:cs="宋体"/>
          <w:color w:val="auto"/>
          <w:szCs w:val="24"/>
        </w:rPr>
        <w:t>老师</w:t>
      </w:r>
    </w:p>
    <w:p w14:paraId="3EFD6E54">
      <w:pPr>
        <w:widowControl/>
        <w:spacing w:line="400" w:lineRule="exact"/>
        <w:ind w:firstLine="480" w:firstLineChars="200"/>
        <w:rPr>
          <w:rFonts w:hint="default" w:ascii="宋体" w:hAnsi="宋体" w:eastAsia="宋体" w:cs="宋体"/>
          <w:color w:val="auto"/>
          <w:sz w:val="24"/>
          <w:szCs w:val="24"/>
          <w:lang w:val="en-US" w:eastAsia="zh-CN"/>
        </w:rPr>
      </w:pPr>
      <w:bookmarkStart w:id="42" w:name="_Toc869"/>
      <w:r>
        <w:rPr>
          <w:rFonts w:hint="eastAsia" w:ascii="宋体" w:hAnsi="宋体" w:cs="宋体"/>
          <w:color w:val="auto"/>
          <w:sz w:val="24"/>
          <w:szCs w:val="24"/>
        </w:rPr>
        <w:t>项目联系人电话：</w:t>
      </w:r>
      <w:bookmarkEnd w:id="42"/>
      <w:r>
        <w:rPr>
          <w:rFonts w:hint="eastAsia" w:ascii="宋体" w:hAnsi="宋体" w:cs="宋体"/>
          <w:color w:val="auto"/>
          <w:sz w:val="24"/>
          <w:szCs w:val="24"/>
          <w:lang w:val="en-US" w:eastAsia="zh-CN"/>
        </w:rPr>
        <w:t>023-63693371</w:t>
      </w:r>
    </w:p>
    <w:bookmarkEnd w:id="30"/>
    <w:bookmarkEnd w:id="31"/>
    <w:bookmarkEnd w:id="32"/>
    <w:bookmarkEnd w:id="33"/>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3" w:name="_Toc4033"/>
      <w:bookmarkStart w:id="44" w:name="_Toc25272"/>
      <w:bookmarkStart w:id="45" w:name="_Toc14224"/>
      <w:bookmarkStart w:id="46" w:name="_Toc76373872"/>
      <w:bookmarkStart w:id="47" w:name="_Toc9714"/>
      <w:bookmarkStart w:id="48" w:name="_Toc21905"/>
      <w:bookmarkStart w:id="49" w:name="_Toc20138"/>
      <w:r>
        <w:rPr>
          <w:rFonts w:hint="eastAsia" w:ascii="宋体" w:hAnsi="宋体" w:cs="宋体"/>
          <w:b/>
          <w:color w:val="auto"/>
          <w:szCs w:val="36"/>
        </w:rPr>
        <w:t xml:space="preserve">第二篇 </w:t>
      </w:r>
      <w:bookmarkEnd w:id="43"/>
      <w:bookmarkEnd w:id="44"/>
      <w:bookmarkEnd w:id="45"/>
      <w:bookmarkEnd w:id="46"/>
      <w:bookmarkEnd w:id="47"/>
      <w:r>
        <w:rPr>
          <w:rFonts w:hint="eastAsia" w:ascii="宋体" w:hAnsi="宋体" w:cs="宋体"/>
          <w:b/>
          <w:color w:val="auto"/>
          <w:szCs w:val="36"/>
        </w:rPr>
        <w:t>技术（质量）与商务需求</w:t>
      </w:r>
      <w:bookmarkEnd w:id="48"/>
      <w:bookmarkEnd w:id="49"/>
    </w:p>
    <w:p w14:paraId="5665E26A">
      <w:pPr>
        <w:widowControl/>
        <w:spacing w:before="120" w:beforeLines="50" w:line="360" w:lineRule="exact"/>
        <w:outlineLvl w:val="1"/>
        <w:rPr>
          <w:rFonts w:hint="eastAsia" w:ascii="宋体" w:hAnsi="宋体" w:eastAsia="宋体" w:cs="宋体"/>
          <w:sz w:val="22"/>
          <w:szCs w:val="22"/>
          <w:vertAlign w:val="baseline"/>
          <w:lang w:val="en-US" w:eastAsia="zh-CN"/>
        </w:rPr>
      </w:pPr>
      <w:bookmarkStart w:id="50" w:name="_Toc32286"/>
      <w:r>
        <w:rPr>
          <w:rFonts w:hint="eastAsia" w:cs="宋体"/>
          <w:b/>
          <w:color w:val="auto"/>
          <w:sz w:val="24"/>
        </w:rPr>
        <w:t>一、</w:t>
      </w:r>
      <w:bookmarkStart w:id="51" w:name="_Toc76373874"/>
      <w:bookmarkStart w:id="52" w:name="_Toc2599"/>
      <w:bookmarkStart w:id="53" w:name="_Toc13391"/>
      <w:bookmarkStart w:id="54" w:name="_Toc11474"/>
      <w:bookmarkStart w:id="55" w:name="_Toc3153"/>
      <w:bookmarkStart w:id="56" w:name="_Toc27187"/>
      <w:bookmarkStart w:id="57" w:name="_Toc25148"/>
      <w:r>
        <w:rPr>
          <w:rFonts w:hint="eastAsia" w:cs="宋体"/>
          <w:b/>
          <w:color w:val="auto"/>
          <w:sz w:val="24"/>
        </w:rPr>
        <w:t>技术需求</w:t>
      </w:r>
      <w:bookmarkEnd w:id="51"/>
      <w:bookmarkEnd w:id="52"/>
      <w:bookmarkEnd w:id="53"/>
      <w:bookmarkEnd w:id="54"/>
      <w:bookmarkEnd w:id="55"/>
      <w:r>
        <w:rPr>
          <w:rFonts w:hint="eastAsia" w:cs="宋体"/>
          <w:b/>
          <w:color w:val="auto"/>
          <w:sz w:val="24"/>
        </w:rPr>
        <w:t>（含技术参数）</w:t>
      </w:r>
      <w:bookmarkEnd w:id="50"/>
      <w:bookmarkEnd w:id="56"/>
      <w:bookmarkEnd w:id="57"/>
      <w:bookmarkStart w:id="58" w:name="_Toc30465"/>
      <w:bookmarkStart w:id="59" w:name="_Toc29620"/>
      <w:bookmarkStart w:id="60" w:name="_Toc29225"/>
      <w:bookmarkStart w:id="61" w:name="_Toc6355"/>
      <w:bookmarkStart w:id="62" w:name="_Toc76373876"/>
      <w:bookmarkStart w:id="63" w:name="_Toc1955"/>
      <w:bookmarkStart w:id="64" w:name="_Toc13107"/>
    </w:p>
    <w:p w14:paraId="5F458741">
      <w:pPr>
        <w:pStyle w:val="31"/>
        <w:ind w:firstLine="241" w:firstLineChars="100"/>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包6</w:t>
      </w:r>
    </w:p>
    <w:p w14:paraId="5A41CD1C">
      <w:pPr>
        <w:widowControl w:val="0"/>
        <w:numPr>
          <w:ilvl w:val="0"/>
          <w:numId w:val="0"/>
        </w:numPr>
        <w:tabs>
          <w:tab w:val="left" w:pos="645"/>
        </w:tabs>
        <w:jc w:val="both"/>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1. 用途：供膀胱或肾脏造瘘患者导尿引流时一次性使用；适用于全切尿路改道手术。</w:t>
      </w:r>
    </w:p>
    <w:p w14:paraId="30CC1713">
      <w:pPr>
        <w:widowControl w:val="0"/>
        <w:numPr>
          <w:ilvl w:val="0"/>
          <w:numId w:val="0"/>
        </w:numPr>
        <w:tabs>
          <w:tab w:val="left" w:pos="645"/>
        </w:tabs>
        <w:jc w:val="both"/>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2. 材质：以天然浓缩胶乳或医用硅胶为原料制成。若为天然乳胶，包装须明示过敏警示；表层涂敷硅胶更佳（柔顺、低致敏）。</w:t>
      </w:r>
    </w:p>
    <w:p w14:paraId="688B589F">
      <w:pPr>
        <w:widowControl w:val="0"/>
        <w:numPr>
          <w:ilvl w:val="0"/>
          <w:numId w:val="0"/>
        </w:numPr>
        <w:tabs>
          <w:tab w:val="left" w:pos="645"/>
        </w:tabs>
        <w:jc w:val="both"/>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3. 结构：由排液腔接头、管身、梅花头（菌状头/蕈状头）组成；无菌单包装。</w:t>
      </w:r>
    </w:p>
    <w:p w14:paraId="6B376467">
      <w:pPr>
        <w:widowControl w:val="0"/>
        <w:numPr>
          <w:ilvl w:val="0"/>
          <w:numId w:val="0"/>
        </w:numPr>
        <w:tabs>
          <w:tab w:val="left" w:pos="645"/>
        </w:tabs>
        <w:jc w:val="both"/>
        <w:rPr>
          <w:rFonts w:hint="default" w:ascii="宋体" w:hAnsi="宋体" w:eastAsia="宋体" w:cs="宋体"/>
          <w:strike w:val="0"/>
          <w:color w:val="auto"/>
          <w:sz w:val="22"/>
          <w:szCs w:val="22"/>
          <w:vertAlign w:val="baseline"/>
          <w:lang w:val="en-US" w:eastAsia="zh-CN"/>
        </w:rPr>
      </w:pPr>
      <w:r>
        <w:rPr>
          <w:rFonts w:hint="eastAsia" w:ascii="宋体" w:hAnsi="宋体" w:eastAsia="宋体" w:cs="宋体"/>
          <w:sz w:val="22"/>
          <w:szCs w:val="22"/>
          <w:vertAlign w:val="baseline"/>
          <w:lang w:val="en-US" w:eastAsia="zh-CN"/>
        </w:rPr>
        <w:t xml:space="preserve">4. </w:t>
      </w:r>
      <w:r>
        <w:rPr>
          <w:rFonts w:hint="eastAsia" w:ascii="宋体" w:hAnsi="宋体" w:eastAsia="宋体" w:cs="宋体"/>
          <w:strike w:val="0"/>
          <w:dstrike w:val="0"/>
          <w:color w:val="auto"/>
          <w:sz w:val="22"/>
          <w:szCs w:val="22"/>
          <w:vertAlign w:val="baseline"/>
          <w:lang w:val="en-US" w:eastAsia="zh-CN"/>
        </w:rPr>
        <w:t>提供多种规格，如24Fr等，满足临床需求。</w:t>
      </w:r>
    </w:p>
    <w:p w14:paraId="3238DDEA">
      <w:pPr>
        <w:pStyle w:val="31"/>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5. 性能与安全：环氧乙烷灭菌，无菌提供；管身匀称平滑、无明显凹凸、留痕、胶粒、杂质和扭结；对天然橡胶过敏者慎用，包装明示警示。</w:t>
      </w:r>
      <w:bookmarkStart w:id="196" w:name="_GoBack"/>
      <w:bookmarkEnd w:id="196"/>
    </w:p>
    <w:p w14:paraId="2D318E5C">
      <w:pPr>
        <w:pStyle w:val="22"/>
        <w:ind w:firstLine="480" w:firstLineChars="200"/>
        <w:rPr>
          <w:rFonts w:hint="eastAsia" w:ascii="微软雅黑" w:hAnsi="微软雅黑" w:eastAsia="微软雅黑" w:cs="微软雅黑"/>
          <w:kern w:val="2"/>
          <w:sz w:val="24"/>
          <w:szCs w:val="24"/>
          <w:lang w:val="en-US" w:eastAsia="zh-CN" w:bidi="ar-SA"/>
        </w:rPr>
      </w:pPr>
    </w:p>
    <w:p w14:paraId="77354835">
      <w:pPr>
        <w:pStyle w:val="22"/>
        <w:ind w:firstLine="482" w:firstLineChars="200"/>
        <w:rPr>
          <w:rFonts w:hint="default" w:ascii="微软雅黑" w:hAnsi="微软雅黑" w:eastAsia="微软雅黑" w:cs="微软雅黑"/>
          <w:kern w:val="2"/>
          <w:sz w:val="24"/>
          <w:szCs w:val="24"/>
          <w:lang w:val="en-US" w:eastAsia="zh-CN" w:bidi="ar-SA"/>
        </w:rPr>
      </w:pPr>
      <w:r>
        <w:rPr>
          <w:rFonts w:hint="eastAsia" w:ascii="宋体" w:hAnsi="宋体" w:eastAsia="宋体" w:cs="宋体"/>
          <w:b/>
          <w:bCs/>
          <w:color w:val="auto"/>
          <w:sz w:val="24"/>
          <w:szCs w:val="24"/>
          <w:lang w:val="en-US" w:eastAsia="zh-CN"/>
        </w:rPr>
        <w:t>包</w:t>
      </w:r>
      <w:r>
        <w:rPr>
          <w:rFonts w:hint="eastAsia" w:hAnsi="宋体" w:cs="宋体"/>
          <w:b/>
          <w:bCs/>
          <w:color w:val="auto"/>
          <w:sz w:val="24"/>
          <w:szCs w:val="24"/>
          <w:lang w:val="en-US" w:eastAsia="zh-CN"/>
        </w:rPr>
        <w:t>10</w:t>
      </w:r>
    </w:p>
    <w:tbl>
      <w:tblPr>
        <w:tblStyle w:val="6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7955"/>
      </w:tblGrid>
      <w:tr w14:paraId="24CE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9" w:hRule="atLeast"/>
        </w:trPr>
        <w:tc>
          <w:tcPr>
            <w:tcW w:w="868" w:type="pct"/>
            <w:vAlign w:val="center"/>
          </w:tcPr>
          <w:p w14:paraId="130D2EC3">
            <w:pPr>
              <w:keepNext w:val="0"/>
              <w:keepLines w:val="0"/>
              <w:widowControl/>
              <w:suppressLineNumbers w:val="0"/>
              <w:jc w:val="center"/>
              <w:textAlignment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听诊器</w:t>
            </w:r>
          </w:p>
        </w:tc>
        <w:tc>
          <w:tcPr>
            <w:tcW w:w="4131" w:type="pct"/>
          </w:tcPr>
          <w:p w14:paraId="7766971A">
            <w:pPr>
              <w:numPr>
                <w:ilvl w:val="0"/>
                <w:numId w:val="0"/>
              </w:numPr>
              <w:tabs>
                <w:tab w:val="left" w:pos="645"/>
              </w:tabs>
              <w:rPr>
                <w:rFonts w:hint="eastAsia" w:ascii="Segoe UI" w:hAnsi="Segoe UI" w:eastAsia="Segoe UI" w:cs="Segoe UI"/>
                <w:i w:val="0"/>
                <w:iCs w:val="0"/>
                <w:caps w:val="0"/>
                <w:color w:val="0F1115"/>
                <w:spacing w:val="0"/>
                <w:sz w:val="22"/>
                <w:szCs w:val="22"/>
                <w:shd w:val="clear" w:fill="FFFFFF"/>
                <w:lang w:val="en-US" w:eastAsia="zh-CN"/>
              </w:rPr>
            </w:pPr>
            <w:r>
              <w:rPr>
                <w:rFonts w:hint="eastAsia" w:ascii="宋体" w:hAnsi="宋体" w:eastAsia="宋体" w:cs="宋体"/>
                <w:sz w:val="22"/>
                <w:szCs w:val="22"/>
                <w:vertAlign w:val="baseline"/>
                <w:lang w:val="en-US" w:eastAsia="zh-CN"/>
              </w:rPr>
              <w:t>用途：供临床医护人员听诊人体心、肺等器官的活动声响变化，用于辅助诊断。</w:t>
            </w:r>
          </w:p>
          <w:p w14:paraId="79644E63">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1.类型：机械声传导式（单用/双用/三用任选其一响应），非电子放大式。</w:t>
            </w:r>
          </w:p>
          <w:p w14:paraId="1E943AA7">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2.组成：听头 + 导音管 + 三通接头 + 耳环（弹簧片+可更换耳塞）。</w:t>
            </w:r>
          </w:p>
          <w:p w14:paraId="0274C950">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3.听头：成人膜片直径 ≥45mm（双面款含钟型腔）；材质不锈钢或纯铜；传声清晰。</w:t>
            </w:r>
          </w:p>
          <w:p w14:paraId="7459603D">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4.频响：100–500Hz 衰减 ≤12dB；500–1000Hz 衰减 ≤20dB（提供检测报告或注册检摘要）。</w:t>
            </w:r>
          </w:p>
          <w:p w14:paraId="0FEB27C4">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 xml:space="preserve">5.耳挂力学：弹簧片硬度 HR15N 82.9–88.4；耳塞距140mm时弹力 </w:t>
            </w:r>
            <w:r>
              <w:rPr>
                <w:rFonts w:hint="eastAsia" w:ascii="宋体" w:hAnsi="宋体" w:eastAsia="宋体" w:cs="宋体"/>
                <w:sz w:val="22"/>
                <w:szCs w:val="22"/>
                <w:highlight w:val="none"/>
                <w:vertAlign w:val="baseline"/>
                <w:lang w:val="en-US" w:eastAsia="zh-CN"/>
              </w:rPr>
              <w:t>1.4–5.0 N；</w:t>
            </w:r>
            <w:r>
              <w:rPr>
                <w:rFonts w:hint="eastAsia" w:ascii="宋体" w:hAnsi="宋体" w:eastAsia="宋体" w:cs="宋体"/>
                <w:sz w:val="22"/>
                <w:szCs w:val="22"/>
                <w:vertAlign w:val="baseline"/>
                <w:lang w:val="en-US" w:eastAsia="zh-CN"/>
              </w:rPr>
              <w:t>300mm拉开回弹变形 ≤10mm。</w:t>
            </w:r>
          </w:p>
          <w:p w14:paraId="719CE462">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6.导音管：医用级 PVC 或硅胶；单腔或双腔结构均可；连接处无漏气。</w:t>
            </w:r>
          </w:p>
          <w:p w14:paraId="1CBCE873">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7.耳塞：软质硅胶可更换，配大/小号各一副。</w:t>
            </w:r>
          </w:p>
          <w:p w14:paraId="6BC963B4">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8.安全与材质：不含乳胶；金属件防锈处理；符合 YY/T 1035-2021。</w:t>
            </w:r>
          </w:p>
          <w:p w14:paraId="36B74DEF">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9.配置：单只装（含备用耳塞一副、备用膜片一片可选）；非灭菌提供。</w:t>
            </w:r>
          </w:p>
        </w:tc>
      </w:tr>
      <w:tr w14:paraId="0430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9" w:hRule="atLeast"/>
        </w:trPr>
        <w:tc>
          <w:tcPr>
            <w:tcW w:w="868" w:type="pct"/>
            <w:vAlign w:val="center"/>
          </w:tcPr>
          <w:p w14:paraId="5393BB9C">
            <w:pPr>
              <w:keepNext w:val="0"/>
              <w:keepLines w:val="0"/>
              <w:widowControl/>
              <w:suppressLineNumbers w:val="0"/>
              <w:jc w:val="center"/>
              <w:textAlignment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电子血压计</w:t>
            </w:r>
          </w:p>
        </w:tc>
        <w:tc>
          <w:tcPr>
            <w:tcW w:w="4131" w:type="pct"/>
          </w:tcPr>
          <w:p w14:paraId="7A463C40">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用途：供临床测量成人或儿童患者的收缩压、舒张压及脉搏率，用于常规血压监测和辅助诊断。</w:t>
            </w:r>
          </w:p>
          <w:p w14:paraId="61562DDA">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1.</w:t>
            </w:r>
            <w:r>
              <w:rPr>
                <w:rFonts w:hint="default" w:ascii="宋体" w:hAnsi="宋体" w:eastAsia="宋体" w:cs="宋体"/>
                <w:i w:val="0"/>
                <w:iCs w:val="0"/>
                <w:caps w:val="0"/>
                <w:color w:val="0F1115"/>
                <w:spacing w:val="0"/>
                <w:sz w:val="22"/>
                <w:szCs w:val="22"/>
                <w:shd w:val="clear" w:fill="FFFFFF"/>
                <w:lang w:val="en-US" w:eastAsia="zh-CN"/>
              </w:rPr>
              <w:t>类型</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臂式电子血压计，示波法（振荡法）测量，非腕式、非水银</w:t>
            </w:r>
            <w:r>
              <w:rPr>
                <w:rFonts w:hint="eastAsia" w:ascii="宋体" w:hAnsi="宋体" w:eastAsia="宋体" w:cs="宋体"/>
                <w:i w:val="0"/>
                <w:iCs w:val="0"/>
                <w:caps w:val="0"/>
                <w:color w:val="0F1115"/>
                <w:spacing w:val="0"/>
                <w:sz w:val="22"/>
                <w:szCs w:val="22"/>
                <w:shd w:val="clear" w:fill="FFFFFF"/>
                <w:lang w:val="en-US" w:eastAsia="zh-CN"/>
              </w:rPr>
              <w:t>。</w:t>
            </w:r>
          </w:p>
          <w:p w14:paraId="35227781">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2.</w:t>
            </w:r>
            <w:r>
              <w:rPr>
                <w:rFonts w:hint="default" w:ascii="宋体" w:hAnsi="宋体" w:eastAsia="宋体" w:cs="宋体"/>
                <w:i w:val="0"/>
                <w:iCs w:val="0"/>
                <w:caps w:val="0"/>
                <w:color w:val="0F1115"/>
                <w:spacing w:val="0"/>
                <w:sz w:val="22"/>
                <w:szCs w:val="22"/>
                <w:shd w:val="clear" w:fill="FFFFFF"/>
                <w:lang w:val="en-US" w:eastAsia="zh-CN"/>
              </w:rPr>
              <w:t>量程</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血压 0–300 mmHg（0–40kPa）；脉率 40–200 次/分</w:t>
            </w:r>
            <w:r>
              <w:rPr>
                <w:rFonts w:hint="eastAsia" w:ascii="宋体" w:hAnsi="宋体" w:eastAsia="宋体" w:cs="宋体"/>
                <w:i w:val="0"/>
                <w:iCs w:val="0"/>
                <w:caps w:val="0"/>
                <w:color w:val="0F1115"/>
                <w:spacing w:val="0"/>
                <w:sz w:val="22"/>
                <w:szCs w:val="22"/>
                <w:shd w:val="clear" w:fill="FFFFFF"/>
                <w:lang w:val="en-US" w:eastAsia="zh-CN"/>
              </w:rPr>
              <w:t>。</w:t>
            </w:r>
          </w:p>
          <w:p w14:paraId="46A9D756">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3.</w:t>
            </w:r>
            <w:r>
              <w:rPr>
                <w:rFonts w:hint="default" w:ascii="宋体" w:hAnsi="宋体" w:eastAsia="宋体" w:cs="宋体"/>
                <w:i w:val="0"/>
                <w:iCs w:val="0"/>
                <w:caps w:val="0"/>
                <w:color w:val="0F1115"/>
                <w:spacing w:val="0"/>
                <w:sz w:val="22"/>
                <w:szCs w:val="22"/>
                <w:shd w:val="clear" w:fill="FFFFFF"/>
                <w:lang w:val="en-US" w:eastAsia="zh-CN"/>
              </w:rPr>
              <w:t>精度</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压力误差 ≤±3 mmHg（或±0.4kPa）；脉率误差 ≤±2 次/分或±2%</w:t>
            </w:r>
            <w:r>
              <w:rPr>
                <w:rFonts w:hint="eastAsia" w:ascii="宋体" w:hAnsi="宋体" w:eastAsia="宋体" w:cs="宋体"/>
                <w:i w:val="0"/>
                <w:iCs w:val="0"/>
                <w:caps w:val="0"/>
                <w:color w:val="0F1115"/>
                <w:spacing w:val="0"/>
                <w:sz w:val="22"/>
                <w:szCs w:val="22"/>
                <w:shd w:val="clear" w:fill="FFFFFF"/>
                <w:lang w:val="en-US" w:eastAsia="zh-CN"/>
              </w:rPr>
              <w:t>。</w:t>
            </w:r>
          </w:p>
          <w:p w14:paraId="7AC14D7A">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4.</w:t>
            </w:r>
            <w:r>
              <w:rPr>
                <w:rFonts w:hint="default" w:ascii="宋体" w:hAnsi="宋体" w:eastAsia="宋体" w:cs="宋体"/>
                <w:i w:val="0"/>
                <w:iCs w:val="0"/>
                <w:caps w:val="0"/>
                <w:color w:val="0F1115"/>
                <w:spacing w:val="0"/>
                <w:sz w:val="22"/>
                <w:szCs w:val="22"/>
                <w:shd w:val="clear" w:fill="FFFFFF"/>
                <w:lang w:val="en-US" w:eastAsia="zh-CN"/>
              </w:rPr>
              <w:t>臂围</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标配 M 袖带 22–32cm；可选配 S 18–22cm / L 32–42cm；或单袖自适应 12–40cm（二选一响应）</w:t>
            </w:r>
            <w:r>
              <w:rPr>
                <w:rFonts w:hint="eastAsia" w:ascii="宋体" w:hAnsi="宋体" w:eastAsia="宋体" w:cs="宋体"/>
                <w:i w:val="0"/>
                <w:iCs w:val="0"/>
                <w:caps w:val="0"/>
                <w:color w:val="0F1115"/>
                <w:spacing w:val="0"/>
                <w:sz w:val="22"/>
                <w:szCs w:val="22"/>
                <w:shd w:val="clear" w:fill="FFFFFF"/>
                <w:lang w:val="en-US" w:eastAsia="zh-CN"/>
              </w:rPr>
              <w:t>。</w:t>
            </w:r>
          </w:p>
          <w:p w14:paraId="303C15C0">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5.</w:t>
            </w:r>
            <w:r>
              <w:rPr>
                <w:rFonts w:hint="default" w:ascii="宋体" w:hAnsi="宋体" w:eastAsia="宋体" w:cs="宋体"/>
                <w:i w:val="0"/>
                <w:iCs w:val="0"/>
                <w:caps w:val="0"/>
                <w:color w:val="0F1115"/>
                <w:spacing w:val="0"/>
                <w:sz w:val="22"/>
                <w:szCs w:val="22"/>
                <w:shd w:val="clear" w:fill="FFFFFF"/>
                <w:lang w:val="en-US" w:eastAsia="zh-CN"/>
              </w:rPr>
              <w:t>显示与存储</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LCD 显示屏（带日期时间）；存储 ≥100 组测量值</w:t>
            </w:r>
            <w:r>
              <w:rPr>
                <w:rFonts w:hint="eastAsia" w:ascii="宋体" w:hAnsi="宋体" w:eastAsia="宋体" w:cs="宋体"/>
                <w:i w:val="0"/>
                <w:iCs w:val="0"/>
                <w:caps w:val="0"/>
                <w:color w:val="0F1115"/>
                <w:spacing w:val="0"/>
                <w:sz w:val="22"/>
                <w:szCs w:val="22"/>
                <w:shd w:val="clear" w:fill="FFFFFF"/>
                <w:lang w:val="en-US" w:eastAsia="zh-CN"/>
              </w:rPr>
              <w:t>。</w:t>
            </w:r>
          </w:p>
          <w:p w14:paraId="78097067">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6.</w:t>
            </w:r>
            <w:r>
              <w:rPr>
                <w:rFonts w:hint="default" w:ascii="宋体" w:hAnsi="宋体" w:eastAsia="宋体" w:cs="宋体"/>
                <w:i w:val="0"/>
                <w:iCs w:val="0"/>
                <w:caps w:val="0"/>
                <w:color w:val="0F1115"/>
                <w:spacing w:val="0"/>
                <w:sz w:val="22"/>
                <w:szCs w:val="22"/>
                <w:shd w:val="clear" w:fill="FFFFFF"/>
                <w:lang w:val="en-US" w:eastAsia="zh-CN"/>
              </w:rPr>
              <w:t>供电</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锂电池 / AA干电池×4 / 电源适配器（AC100–240V 输入）任一种或多种具备</w:t>
            </w:r>
            <w:r>
              <w:rPr>
                <w:rFonts w:hint="eastAsia" w:ascii="宋体" w:hAnsi="宋体" w:eastAsia="宋体" w:cs="宋体"/>
                <w:i w:val="0"/>
                <w:iCs w:val="0"/>
                <w:caps w:val="0"/>
                <w:color w:val="0F1115"/>
                <w:spacing w:val="0"/>
                <w:sz w:val="22"/>
                <w:szCs w:val="22"/>
                <w:shd w:val="clear" w:fill="FFFFFF"/>
                <w:lang w:val="en-US" w:eastAsia="zh-CN"/>
              </w:rPr>
              <w:t>。</w:t>
            </w:r>
          </w:p>
          <w:p w14:paraId="0112DFF5">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7.</w:t>
            </w:r>
            <w:r>
              <w:rPr>
                <w:rFonts w:hint="default" w:ascii="宋体" w:hAnsi="宋体" w:eastAsia="宋体" w:cs="宋体"/>
                <w:i w:val="0"/>
                <w:iCs w:val="0"/>
                <w:caps w:val="0"/>
                <w:color w:val="0F1115"/>
                <w:spacing w:val="0"/>
                <w:sz w:val="22"/>
                <w:szCs w:val="22"/>
                <w:shd w:val="clear" w:fill="FFFFFF"/>
                <w:lang w:val="en-US" w:eastAsia="zh-CN"/>
              </w:rPr>
              <w:t>安全分类</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内部电源，BF 型应用部分；防进液 ≥IP21</w:t>
            </w:r>
            <w:r>
              <w:rPr>
                <w:rFonts w:hint="eastAsia" w:ascii="宋体" w:hAnsi="宋体" w:eastAsia="宋体" w:cs="宋体"/>
                <w:i w:val="0"/>
                <w:iCs w:val="0"/>
                <w:caps w:val="0"/>
                <w:color w:val="0F1115"/>
                <w:spacing w:val="0"/>
                <w:sz w:val="22"/>
                <w:szCs w:val="22"/>
                <w:shd w:val="clear" w:fill="FFFFFF"/>
                <w:lang w:val="en-US" w:eastAsia="zh-CN"/>
              </w:rPr>
              <w:t>。</w:t>
            </w:r>
          </w:p>
          <w:p w14:paraId="1DB47F2A">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8.</w:t>
            </w:r>
            <w:r>
              <w:rPr>
                <w:rFonts w:hint="default" w:ascii="宋体" w:hAnsi="宋体" w:eastAsia="宋体" w:cs="宋体"/>
                <w:i w:val="0"/>
                <w:iCs w:val="0"/>
                <w:caps w:val="0"/>
                <w:color w:val="0F1115"/>
                <w:spacing w:val="0"/>
                <w:sz w:val="22"/>
                <w:szCs w:val="22"/>
                <w:shd w:val="clear" w:fill="FFFFFF"/>
                <w:lang w:val="en-US" w:eastAsia="zh-CN"/>
              </w:rPr>
              <w:t>附加功能</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可选：不规则脉波检测、房颤提示、袖带可拆洗消毒</w:t>
            </w:r>
            <w:r>
              <w:rPr>
                <w:rFonts w:hint="eastAsia" w:ascii="宋体" w:hAnsi="宋体" w:eastAsia="宋体" w:cs="宋体"/>
                <w:i w:val="0"/>
                <w:iCs w:val="0"/>
                <w:caps w:val="0"/>
                <w:color w:val="0F1115"/>
                <w:spacing w:val="0"/>
                <w:sz w:val="22"/>
                <w:szCs w:val="22"/>
                <w:shd w:val="clear" w:fill="FFFFFF"/>
                <w:lang w:val="en-US" w:eastAsia="zh-CN"/>
              </w:rPr>
              <w:t>。</w:t>
            </w:r>
          </w:p>
        </w:tc>
      </w:tr>
      <w:tr w14:paraId="79A6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7" w:hRule="atLeast"/>
        </w:trPr>
        <w:tc>
          <w:tcPr>
            <w:tcW w:w="868" w:type="pct"/>
            <w:vAlign w:val="center"/>
          </w:tcPr>
          <w:p w14:paraId="79ED9953">
            <w:pPr>
              <w:keepNext w:val="0"/>
              <w:keepLines w:val="0"/>
              <w:widowControl/>
              <w:suppressLineNumbers w:val="0"/>
              <w:jc w:val="center"/>
              <w:textAlignment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电子血压计袖带</w:t>
            </w:r>
          </w:p>
        </w:tc>
        <w:tc>
          <w:tcPr>
            <w:tcW w:w="4131" w:type="pct"/>
          </w:tcPr>
          <w:p w14:paraId="0519CB17">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用途：为电子血压计的配套配件，用于绑定患者上臂，传递动脉搏动信号至血压计传感器，完成血压测量。</w:t>
            </w:r>
          </w:p>
          <w:p w14:paraId="60FBCD3B">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1.</w:t>
            </w:r>
            <w:r>
              <w:rPr>
                <w:rFonts w:hint="default" w:ascii="宋体" w:hAnsi="宋体" w:eastAsia="宋体" w:cs="宋体"/>
                <w:i w:val="0"/>
                <w:iCs w:val="0"/>
                <w:caps w:val="0"/>
                <w:color w:val="0F1115"/>
                <w:spacing w:val="0"/>
                <w:sz w:val="22"/>
                <w:szCs w:val="22"/>
                <w:shd w:val="clear" w:fill="FFFFFF"/>
                <w:lang w:val="en-US" w:eastAsia="zh-CN"/>
              </w:rPr>
              <w:t>臂围分级：至少提供 M(22-32cm) 标配；可选配 S(18-22cm)、L(32-42cm)、SS(12-18cm)、XL(42-50cm)</w:t>
            </w:r>
            <w:r>
              <w:rPr>
                <w:rFonts w:hint="eastAsia" w:ascii="宋体" w:hAnsi="宋体" w:eastAsia="宋体" w:cs="宋体"/>
                <w:i w:val="0"/>
                <w:iCs w:val="0"/>
                <w:caps w:val="0"/>
                <w:color w:val="0F1115"/>
                <w:spacing w:val="0"/>
                <w:sz w:val="22"/>
                <w:szCs w:val="22"/>
                <w:shd w:val="clear" w:fill="FFFFFF"/>
                <w:lang w:val="en-US" w:eastAsia="zh-CN"/>
              </w:rPr>
              <w:t>。</w:t>
            </w:r>
          </w:p>
          <w:p w14:paraId="4EAB9D74">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2.</w:t>
            </w:r>
            <w:r>
              <w:rPr>
                <w:rFonts w:hint="default" w:ascii="宋体" w:hAnsi="宋体" w:eastAsia="宋体" w:cs="宋体"/>
                <w:i w:val="0"/>
                <w:iCs w:val="0"/>
                <w:caps w:val="0"/>
                <w:color w:val="0F1115"/>
                <w:spacing w:val="0"/>
                <w:sz w:val="22"/>
                <w:szCs w:val="22"/>
                <w:shd w:val="clear" w:fill="FFFFFF"/>
                <w:lang w:val="en-US" w:eastAsia="zh-CN"/>
              </w:rPr>
              <w:t xml:space="preserve">材质：外套尼龙布/PU革/无纺布任一；内衬 TPU 或 PVC </w:t>
            </w:r>
            <w:r>
              <w:rPr>
                <w:rFonts w:hint="eastAsia" w:ascii="宋体" w:hAnsi="宋体" w:eastAsia="宋体" w:cs="宋体"/>
                <w:i w:val="0"/>
                <w:iCs w:val="0"/>
                <w:caps w:val="0"/>
                <w:color w:val="0F1115"/>
                <w:spacing w:val="0"/>
                <w:sz w:val="22"/>
                <w:szCs w:val="22"/>
                <w:shd w:val="clear" w:fill="FFFFFF"/>
                <w:lang w:val="en-US" w:eastAsia="zh-CN"/>
              </w:rPr>
              <w:t>2.</w:t>
            </w:r>
            <w:r>
              <w:rPr>
                <w:rFonts w:hint="default" w:ascii="宋体" w:hAnsi="宋体" w:eastAsia="宋体" w:cs="宋体"/>
                <w:i w:val="0"/>
                <w:iCs w:val="0"/>
                <w:caps w:val="0"/>
                <w:color w:val="0F1115"/>
                <w:spacing w:val="0"/>
                <w:sz w:val="22"/>
                <w:szCs w:val="22"/>
                <w:shd w:val="clear" w:fill="FFFFFF"/>
                <w:lang w:val="en-US" w:eastAsia="zh-CN"/>
              </w:rPr>
              <w:t>气囊；不含乳胶</w:t>
            </w:r>
            <w:r>
              <w:rPr>
                <w:rFonts w:hint="eastAsia" w:ascii="宋体" w:hAnsi="宋体" w:eastAsia="宋体" w:cs="宋体"/>
                <w:i w:val="0"/>
                <w:iCs w:val="0"/>
                <w:caps w:val="0"/>
                <w:color w:val="0F1115"/>
                <w:spacing w:val="0"/>
                <w:sz w:val="22"/>
                <w:szCs w:val="22"/>
                <w:shd w:val="clear" w:fill="FFFFFF"/>
                <w:lang w:val="en-US" w:eastAsia="zh-CN"/>
              </w:rPr>
              <w:t>。</w:t>
            </w:r>
          </w:p>
          <w:p w14:paraId="1CAB6D5C">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3.</w:t>
            </w:r>
            <w:r>
              <w:rPr>
                <w:rFonts w:hint="default" w:ascii="宋体" w:hAnsi="宋体" w:eastAsia="宋体" w:cs="宋体"/>
                <w:i w:val="0"/>
                <w:iCs w:val="0"/>
                <w:caps w:val="0"/>
                <w:color w:val="0F1115"/>
                <w:spacing w:val="0"/>
                <w:sz w:val="22"/>
                <w:szCs w:val="22"/>
                <w:shd w:val="clear" w:fill="FFFFFF"/>
                <w:lang w:val="en-US" w:eastAsia="zh-CN"/>
              </w:rPr>
              <w:t>可拆洗：布套可从气囊拆卸，支持酒精/含氯消毒液擦拭，≥500 次清洗不褪色、不脱层、不变形</w:t>
            </w:r>
            <w:r>
              <w:rPr>
                <w:rFonts w:hint="eastAsia" w:ascii="宋体" w:hAnsi="宋体" w:eastAsia="宋体" w:cs="宋体"/>
                <w:i w:val="0"/>
                <w:iCs w:val="0"/>
                <w:caps w:val="0"/>
                <w:color w:val="0F1115"/>
                <w:spacing w:val="0"/>
                <w:sz w:val="22"/>
                <w:szCs w:val="22"/>
                <w:shd w:val="clear" w:fill="FFFFFF"/>
                <w:lang w:val="en-US" w:eastAsia="zh-CN"/>
              </w:rPr>
              <w:t>。</w:t>
            </w:r>
          </w:p>
          <w:p w14:paraId="325F5127">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4.</w:t>
            </w:r>
            <w:r>
              <w:rPr>
                <w:rFonts w:hint="default" w:ascii="宋体" w:hAnsi="宋体" w:eastAsia="宋体" w:cs="宋体"/>
                <w:i w:val="0"/>
                <w:iCs w:val="0"/>
                <w:caps w:val="0"/>
                <w:color w:val="0F1115"/>
                <w:spacing w:val="0"/>
                <w:sz w:val="22"/>
                <w:szCs w:val="22"/>
                <w:shd w:val="clear" w:fill="FFFFFF"/>
                <w:lang w:val="en-US" w:eastAsia="zh-CN"/>
              </w:rPr>
              <w:t>接口：与所投电子血压计品牌主机匹配（原厂配套或通用接口均可响应）</w:t>
            </w:r>
            <w:r>
              <w:rPr>
                <w:rFonts w:hint="eastAsia" w:ascii="宋体" w:hAnsi="宋体" w:eastAsia="宋体" w:cs="宋体"/>
                <w:i w:val="0"/>
                <w:iCs w:val="0"/>
                <w:caps w:val="0"/>
                <w:color w:val="0F1115"/>
                <w:spacing w:val="0"/>
                <w:sz w:val="22"/>
                <w:szCs w:val="22"/>
                <w:shd w:val="clear" w:fill="FFFFFF"/>
                <w:lang w:val="en-US" w:eastAsia="zh-CN"/>
              </w:rPr>
              <w:t>。</w:t>
            </w:r>
          </w:p>
          <w:p w14:paraId="408E12C4">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5.</w:t>
            </w:r>
            <w:r>
              <w:rPr>
                <w:rFonts w:hint="default" w:ascii="宋体" w:hAnsi="宋体" w:eastAsia="宋体" w:cs="宋体"/>
                <w:i w:val="0"/>
                <w:iCs w:val="0"/>
                <w:caps w:val="0"/>
                <w:color w:val="0F1115"/>
                <w:spacing w:val="0"/>
                <w:sz w:val="22"/>
                <w:szCs w:val="22"/>
                <w:shd w:val="clear" w:fill="FFFFFF"/>
                <w:lang w:val="en-US" w:eastAsia="zh-CN"/>
              </w:rPr>
              <w:t>生物相容：通过细胞毒性、皮肤刺激、迟发型致敏三项检测（提供报告或注册检摘要）</w:t>
            </w:r>
            <w:r>
              <w:rPr>
                <w:rFonts w:hint="eastAsia" w:ascii="宋体" w:hAnsi="宋体" w:eastAsia="宋体" w:cs="宋体"/>
                <w:i w:val="0"/>
                <w:iCs w:val="0"/>
                <w:caps w:val="0"/>
                <w:color w:val="0F1115"/>
                <w:spacing w:val="0"/>
                <w:sz w:val="22"/>
                <w:szCs w:val="22"/>
                <w:shd w:val="clear" w:fill="FFFFFF"/>
                <w:lang w:val="en-US" w:eastAsia="zh-CN"/>
              </w:rPr>
              <w:t>。</w:t>
            </w:r>
          </w:p>
          <w:p w14:paraId="1DCB0FCE">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6.</w:t>
            </w:r>
            <w:r>
              <w:rPr>
                <w:rFonts w:hint="default" w:ascii="宋体" w:hAnsi="宋体" w:eastAsia="宋体" w:cs="宋体"/>
                <w:i w:val="0"/>
                <w:iCs w:val="0"/>
                <w:caps w:val="0"/>
                <w:color w:val="0F1115"/>
                <w:spacing w:val="0"/>
                <w:sz w:val="22"/>
                <w:szCs w:val="22"/>
                <w:shd w:val="clear" w:fill="FFFFFF"/>
                <w:lang w:val="en-US" w:eastAsia="zh-CN"/>
              </w:rPr>
              <w:t>耐久性：充气循环 ≥1 万次仍保持气密性；魔术贴反复开合 ≥5000 次不脱胶</w:t>
            </w:r>
            <w:r>
              <w:rPr>
                <w:rFonts w:hint="eastAsia" w:ascii="宋体" w:hAnsi="宋体" w:eastAsia="宋体" w:cs="宋体"/>
                <w:i w:val="0"/>
                <w:iCs w:val="0"/>
                <w:caps w:val="0"/>
                <w:color w:val="0F1115"/>
                <w:spacing w:val="0"/>
                <w:sz w:val="22"/>
                <w:szCs w:val="22"/>
                <w:shd w:val="clear" w:fill="FFFFFF"/>
                <w:lang w:val="en-US" w:eastAsia="zh-CN"/>
              </w:rPr>
              <w:t>。</w:t>
            </w:r>
          </w:p>
          <w:p w14:paraId="1001AA95">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7.</w:t>
            </w:r>
            <w:r>
              <w:rPr>
                <w:rFonts w:hint="default" w:ascii="宋体" w:hAnsi="宋体" w:eastAsia="宋体" w:cs="宋体"/>
                <w:i w:val="0"/>
                <w:iCs w:val="0"/>
                <w:caps w:val="0"/>
                <w:color w:val="0F1115"/>
                <w:spacing w:val="0"/>
                <w:sz w:val="22"/>
                <w:szCs w:val="22"/>
                <w:shd w:val="clear" w:fill="FFFFFF"/>
                <w:lang w:val="en-US" w:eastAsia="zh-CN"/>
              </w:rPr>
              <w:t>气密性：300mmHg 静压下 60s 内压降 ≤1mmHg</w:t>
            </w:r>
            <w:r>
              <w:rPr>
                <w:rFonts w:hint="eastAsia" w:ascii="宋体" w:hAnsi="宋体" w:eastAsia="宋体" w:cs="宋体"/>
                <w:i w:val="0"/>
                <w:iCs w:val="0"/>
                <w:caps w:val="0"/>
                <w:color w:val="0F1115"/>
                <w:spacing w:val="0"/>
                <w:sz w:val="22"/>
                <w:szCs w:val="22"/>
                <w:shd w:val="clear" w:fill="FFFFFF"/>
                <w:lang w:val="en-US" w:eastAsia="zh-CN"/>
              </w:rPr>
              <w:t>。</w:t>
            </w:r>
          </w:p>
        </w:tc>
      </w:tr>
      <w:tr w14:paraId="446F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9" w:hRule="atLeast"/>
        </w:trPr>
        <w:tc>
          <w:tcPr>
            <w:tcW w:w="868" w:type="pct"/>
            <w:vAlign w:val="center"/>
          </w:tcPr>
          <w:p w14:paraId="415FD402">
            <w:pPr>
              <w:keepNext w:val="0"/>
              <w:keepLines w:val="0"/>
              <w:widowControl/>
              <w:suppressLineNumbers w:val="0"/>
              <w:jc w:val="center"/>
              <w:textAlignment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非接触式红外体温计</w:t>
            </w:r>
          </w:p>
        </w:tc>
        <w:tc>
          <w:tcPr>
            <w:tcW w:w="4131" w:type="pct"/>
          </w:tcPr>
          <w:p w14:paraId="138C91CC">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用途：供临床通过非接触方式快速测量人体额头或体表温度，用于发热患者的初步筛查和日常体温监测。</w:t>
            </w:r>
          </w:p>
          <w:p w14:paraId="103AE407">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1. 部位：红外非接触式，额温模式；测量距离 3-5cm（允许 5-15cm 响应）。</w:t>
            </w:r>
          </w:p>
          <w:p w14:paraId="3B5032A3">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2. 量程：体温 32.0-42.9℃；可选物体表面模式 0-100℃。</w:t>
            </w:r>
          </w:p>
          <w:p w14:paraId="6A10E74B">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3. 精度：35.0-42.0℃ 内 ±0.2℃；32.0-34.9℃ 及 42.1-42.9℃ 内 ±0.3℃；分辨力 0.1℃。</w:t>
            </w:r>
          </w:p>
          <w:p w14:paraId="51C937EB">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4. 响应：单次测量 ≤1s；一键启动。</w:t>
            </w:r>
          </w:p>
          <w:p w14:paraId="629D6652">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5. 显示：LCD 背光，数字高度 ≥4mm；三色背光（正常/低热/高热）或单色带超温声光报警；Lo/Hi 提示。</w:t>
            </w:r>
          </w:p>
          <w:p w14:paraId="2C079C8C">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6. 存储：记忆 ≥32 组；可 ℃/℉ 切换。</w:t>
            </w:r>
          </w:p>
          <w:p w14:paraId="64423B7F">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7. 供电：DC 3V（AAA×2 或 AA×2）；低电量提示；无操作自动关机 ≤30s。</w:t>
            </w:r>
          </w:p>
          <w:p w14:paraId="1FC8CCF5">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8. 安全：内部电源、BF 型应用部分；符合 GB 9706.1-2020、YY 9706.102-2021；提供注册检报告。</w:t>
            </w:r>
          </w:p>
        </w:tc>
      </w:tr>
      <w:tr w14:paraId="5605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9" w:hRule="atLeast"/>
        </w:trPr>
        <w:tc>
          <w:tcPr>
            <w:tcW w:w="868" w:type="pct"/>
            <w:shd w:val="clear" w:color="auto" w:fill="auto"/>
            <w:vAlign w:val="center"/>
          </w:tcPr>
          <w:p w14:paraId="72E6D1D1">
            <w:pPr>
              <w:spacing w:line="240" w:lineRule="auto"/>
              <w:ind w:left="0" w:leftChars="0" w:right="0" w:rightChars="0" w:firstLine="0" w:firstLineChars="0"/>
              <w:jc w:val="both"/>
              <w:rPr>
                <w:rFonts w:hint="eastAsia" w:ascii="宋体" w:hAnsi="宋体" w:eastAsia="宋体" w:cstheme="minorBidi"/>
                <w:kern w:val="2"/>
                <w:sz w:val="22"/>
                <w:szCs w:val="22"/>
                <w:vertAlign w:val="baseline"/>
                <w:lang w:val="en-US" w:eastAsia="zh-CN" w:bidi="ar-SA"/>
              </w:rPr>
            </w:pPr>
            <w:r>
              <w:rPr>
                <w:rFonts w:hint="eastAsia"/>
                <w:sz w:val="22"/>
                <w:szCs w:val="22"/>
                <w:vertAlign w:val="baseline"/>
              </w:rPr>
              <w:t>玻璃体温计</w:t>
            </w:r>
          </w:p>
        </w:tc>
        <w:tc>
          <w:tcPr>
            <w:tcW w:w="4131" w:type="pct"/>
            <w:shd w:val="clear" w:color="auto" w:fill="auto"/>
            <w:vAlign w:val="top"/>
          </w:tcPr>
          <w:p w14:paraId="43CF1589">
            <w:pPr>
              <w:spacing w:line="240" w:lineRule="auto"/>
              <w:ind w:left="0" w:leftChars="0" w:right="0" w:rightChars="0" w:firstLine="0" w:firstLineChars="0"/>
              <w:rPr>
                <w:rFonts w:hint="eastAsia" w:eastAsiaTheme="minorEastAsia"/>
                <w:sz w:val="22"/>
                <w:szCs w:val="22"/>
                <w:vertAlign w:val="baseline"/>
                <w:lang w:val="en-US" w:eastAsia="zh-CN"/>
              </w:rPr>
            </w:pPr>
            <w:r>
              <w:rPr>
                <w:rFonts w:hint="eastAsia"/>
                <w:sz w:val="22"/>
                <w:szCs w:val="22"/>
                <w:vertAlign w:val="baseline"/>
                <w:lang w:val="en-US" w:eastAsia="zh-CN"/>
              </w:rPr>
              <w:t>用途：</w:t>
            </w:r>
            <w:r>
              <w:rPr>
                <w:rFonts w:hint="eastAsia"/>
                <w:sz w:val="22"/>
                <w:szCs w:val="22"/>
                <w:vertAlign w:val="baseline"/>
              </w:rPr>
              <w:t>供医疗机构测量人体体温用（腋下/口腔/直肠）</w:t>
            </w:r>
            <w:r>
              <w:rPr>
                <w:rFonts w:hint="eastAsia"/>
                <w:sz w:val="22"/>
                <w:szCs w:val="22"/>
                <w:vertAlign w:val="baseline"/>
                <w:lang w:eastAsia="zh-CN"/>
              </w:rPr>
              <w:t>。</w:t>
            </w:r>
          </w:p>
          <w:p w14:paraId="18734245">
            <w:pPr>
              <w:numPr>
                <w:ilvl w:val="0"/>
                <w:numId w:val="1"/>
              </w:numPr>
              <w:spacing w:line="240" w:lineRule="auto"/>
              <w:ind w:left="0" w:leftChars="0" w:right="0" w:rightChars="0" w:firstLine="0" w:firstLineChars="0"/>
              <w:rPr>
                <w:rFonts w:hint="eastAsia" w:eastAsiaTheme="minorEastAsia"/>
                <w:sz w:val="22"/>
                <w:szCs w:val="22"/>
                <w:vertAlign w:val="baseline"/>
                <w:lang w:eastAsia="zh-CN"/>
              </w:rPr>
            </w:pPr>
            <w:r>
              <w:rPr>
                <w:rFonts w:hint="eastAsia"/>
                <w:sz w:val="22"/>
                <w:szCs w:val="22"/>
                <w:vertAlign w:val="baseline"/>
              </w:rPr>
              <w:t>结构</w:t>
            </w:r>
            <w:r>
              <w:rPr>
                <w:rFonts w:hint="eastAsia"/>
                <w:sz w:val="22"/>
                <w:szCs w:val="22"/>
                <w:vertAlign w:val="baseline"/>
                <w:lang w:eastAsia="zh-CN"/>
              </w:rPr>
              <w:t>：</w:t>
            </w:r>
            <w:r>
              <w:rPr>
                <w:rFonts w:hint="eastAsia"/>
                <w:sz w:val="22"/>
                <w:szCs w:val="22"/>
                <w:vertAlign w:val="baseline"/>
              </w:rPr>
              <w:t>棒式内标玻璃体温计；腋温型 / 口温型 / 肛温型 三型并列，投标时分别列明并报价</w:t>
            </w:r>
            <w:r>
              <w:rPr>
                <w:rFonts w:hint="eastAsia"/>
                <w:sz w:val="22"/>
                <w:szCs w:val="22"/>
                <w:vertAlign w:val="baseline"/>
                <w:lang w:eastAsia="zh-CN"/>
              </w:rPr>
              <w:t>。</w:t>
            </w:r>
          </w:p>
          <w:p w14:paraId="1A7E65AF">
            <w:pPr>
              <w:numPr>
                <w:ilvl w:val="0"/>
                <w:numId w:val="1"/>
              </w:numPr>
              <w:spacing w:line="240" w:lineRule="auto"/>
              <w:ind w:left="0" w:leftChars="0" w:right="0" w:rightChars="0" w:firstLine="0" w:firstLineChars="0"/>
              <w:rPr>
                <w:rFonts w:hint="eastAsia" w:eastAsiaTheme="minorEastAsia"/>
                <w:sz w:val="22"/>
                <w:szCs w:val="22"/>
                <w:vertAlign w:val="baseline"/>
                <w:lang w:eastAsia="zh-CN"/>
              </w:rPr>
            </w:pPr>
            <w:r>
              <w:rPr>
                <w:rFonts w:hint="eastAsia"/>
                <w:sz w:val="22"/>
                <w:szCs w:val="22"/>
                <w:vertAlign w:val="baseline"/>
              </w:rPr>
              <w:t>感温液</w:t>
            </w:r>
            <w:r>
              <w:rPr>
                <w:rFonts w:hint="eastAsia"/>
                <w:sz w:val="22"/>
                <w:szCs w:val="22"/>
                <w:vertAlign w:val="baseline"/>
                <w:lang w:eastAsia="zh-CN"/>
              </w:rPr>
              <w:t>：</w:t>
            </w:r>
            <w:r>
              <w:rPr>
                <w:rFonts w:hint="eastAsia"/>
                <w:sz w:val="22"/>
                <w:szCs w:val="22"/>
                <w:vertAlign w:val="baseline"/>
              </w:rPr>
              <w:t>无汞环保合金（镓铟锡）</w:t>
            </w:r>
            <w:r>
              <w:rPr>
                <w:rFonts w:hint="eastAsia"/>
                <w:sz w:val="22"/>
                <w:szCs w:val="22"/>
                <w:vertAlign w:val="baseline"/>
                <w:lang w:eastAsia="zh-CN"/>
              </w:rPr>
              <w:t>。</w:t>
            </w:r>
          </w:p>
          <w:p w14:paraId="4A806314">
            <w:pPr>
              <w:numPr>
                <w:ilvl w:val="0"/>
                <w:numId w:val="1"/>
              </w:numPr>
              <w:spacing w:line="240" w:lineRule="auto"/>
              <w:ind w:left="0" w:leftChars="0" w:right="0" w:rightChars="0" w:firstLine="0" w:firstLineChars="0"/>
              <w:rPr>
                <w:rFonts w:hint="eastAsia" w:eastAsiaTheme="minorEastAsia"/>
                <w:sz w:val="22"/>
                <w:szCs w:val="22"/>
                <w:vertAlign w:val="baseline"/>
                <w:lang w:eastAsia="zh-CN"/>
              </w:rPr>
            </w:pPr>
            <w:r>
              <w:rPr>
                <w:rFonts w:hint="eastAsia"/>
                <w:sz w:val="22"/>
                <w:szCs w:val="22"/>
                <w:vertAlign w:val="baseline"/>
              </w:rPr>
              <w:t>量程与精度</w:t>
            </w:r>
            <w:r>
              <w:rPr>
                <w:rFonts w:hint="eastAsia"/>
                <w:sz w:val="22"/>
                <w:szCs w:val="22"/>
                <w:vertAlign w:val="baseline"/>
                <w:lang w:eastAsia="zh-CN"/>
              </w:rPr>
              <w:t>：</w:t>
            </w:r>
            <w:r>
              <w:rPr>
                <w:rFonts w:hint="eastAsia"/>
                <w:sz w:val="22"/>
                <w:szCs w:val="22"/>
                <w:vertAlign w:val="baseline"/>
              </w:rPr>
              <w:t>示值范围 35–42℃，最小分度 0.1℃，示值误差 ≤±0.1℃</w:t>
            </w:r>
            <w:r>
              <w:rPr>
                <w:rFonts w:hint="eastAsia"/>
                <w:sz w:val="22"/>
                <w:szCs w:val="22"/>
                <w:vertAlign w:val="baseline"/>
                <w:lang w:eastAsia="zh-CN"/>
              </w:rPr>
              <w:t>。</w:t>
            </w:r>
          </w:p>
          <w:p w14:paraId="6963487B">
            <w:pPr>
              <w:numPr>
                <w:ilvl w:val="0"/>
                <w:numId w:val="1"/>
              </w:numPr>
              <w:spacing w:line="240" w:lineRule="auto"/>
              <w:ind w:left="0" w:leftChars="0" w:right="0" w:rightChars="0" w:firstLine="0" w:firstLineChars="0"/>
              <w:rPr>
                <w:rFonts w:hint="eastAsia" w:asciiTheme="minorHAnsi" w:hAnsiTheme="minorHAnsi" w:eastAsiaTheme="minorEastAsia" w:cstheme="minorBidi"/>
                <w:kern w:val="2"/>
                <w:sz w:val="22"/>
                <w:szCs w:val="22"/>
                <w:vertAlign w:val="baseline"/>
                <w:lang w:val="en-US" w:eastAsia="zh-CN" w:bidi="ar-SA"/>
              </w:rPr>
            </w:pPr>
            <w:r>
              <w:rPr>
                <w:rFonts w:hint="eastAsia"/>
                <w:sz w:val="22"/>
                <w:szCs w:val="22"/>
                <w:vertAlign w:val="baseline"/>
              </w:rPr>
              <w:t>性能</w:t>
            </w:r>
            <w:r>
              <w:rPr>
                <w:rFonts w:hint="eastAsia"/>
                <w:sz w:val="22"/>
                <w:szCs w:val="22"/>
                <w:vertAlign w:val="baseline"/>
                <w:lang w:eastAsia="zh-CN"/>
              </w:rPr>
              <w:t>：</w:t>
            </w:r>
            <w:r>
              <w:rPr>
                <w:rFonts w:hint="eastAsia"/>
                <w:sz w:val="22"/>
                <w:szCs w:val="22"/>
                <w:vertAlign w:val="baseline"/>
              </w:rPr>
              <w:t>腋温型回原时间 ≤10min，口温/肛温型 ≤5min；汞柱清晰不断裂、无气泡；玻璃管光滑</w:t>
            </w:r>
            <w:r>
              <w:rPr>
                <w:rFonts w:hint="eastAsia"/>
                <w:sz w:val="22"/>
                <w:szCs w:val="22"/>
                <w:vertAlign w:val="baseline"/>
                <w:lang w:eastAsia="zh-CN"/>
              </w:rPr>
              <w:t>。</w:t>
            </w:r>
          </w:p>
        </w:tc>
      </w:tr>
    </w:tbl>
    <w:p w14:paraId="129125D6">
      <w:pPr>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 xml:space="preserve">   </w:t>
      </w:r>
    </w:p>
    <w:p w14:paraId="60F7EFA6">
      <w:pPr>
        <w:ind w:firstLine="482" w:firstLineChars="200"/>
        <w:rPr>
          <w:rFonts w:hint="eastAsia" w:hAnsi="宋体" w:cs="宋体"/>
          <w:b/>
          <w:bCs/>
          <w:i w:val="0"/>
          <w:iCs/>
          <w:color w:val="auto"/>
          <w:sz w:val="24"/>
          <w:szCs w:val="24"/>
          <w:lang w:val="en-US" w:eastAsia="zh-CN"/>
        </w:rPr>
      </w:pPr>
      <w:r>
        <w:rPr>
          <w:rFonts w:hint="eastAsia" w:ascii="宋体" w:hAnsi="宋体" w:eastAsia="宋体" w:cs="宋体"/>
          <w:b/>
          <w:bCs/>
          <w:i w:val="0"/>
          <w:iCs/>
          <w:color w:val="auto"/>
          <w:sz w:val="24"/>
          <w:szCs w:val="24"/>
          <w:lang w:val="en-US" w:eastAsia="zh-CN"/>
        </w:rPr>
        <w:t>包</w:t>
      </w:r>
      <w:r>
        <w:rPr>
          <w:rFonts w:hint="eastAsia" w:hAnsi="宋体" w:cs="宋体"/>
          <w:b/>
          <w:bCs/>
          <w:i w:val="0"/>
          <w:iCs/>
          <w:color w:val="auto"/>
          <w:sz w:val="24"/>
          <w:szCs w:val="24"/>
          <w:lang w:val="en-US" w:eastAsia="zh-CN"/>
        </w:rPr>
        <w:t>15</w:t>
      </w:r>
    </w:p>
    <w:p w14:paraId="63E24CB0">
      <w:pPr>
        <w:keepNext w:val="0"/>
        <w:keepLines w:val="0"/>
        <w:widowControl/>
        <w:suppressLineNumbers w:val="0"/>
        <w:spacing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1. 结构与成分：由脂质水胶体浸渍载体构成（载体可为网格/无纺布/纤维素网任一种，浸渍基质含凡士林、石蜡油或微脂粒中的一种或多种）；不含银离子。</w:t>
      </w:r>
    </w:p>
    <w:p w14:paraId="75C1BDA8">
      <w:pPr>
        <w:keepNext w:val="0"/>
        <w:keepLines w:val="0"/>
        <w:widowControl/>
        <w:suppressLineNumbers w:val="0"/>
        <w:spacing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2. 形态与操作：片状或条状；可按临床需要任意裁剪；顺应性好，贴合各类曲面及腔洞；不与创面肉芽粘连。</w:t>
      </w:r>
    </w:p>
    <w:p w14:paraId="4E6FE4BB">
      <w:pPr>
        <w:keepNext w:val="0"/>
        <w:keepLines w:val="0"/>
        <w:widowControl/>
        <w:suppressLineNumbers w:val="0"/>
        <w:spacing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3. 性能：低粘性、保湿、形成脂质水胶屏障；与泡沫/藻酸盐/水胶体等外层敷料叠用不冲突；促进自溶性清创，维持湿润愈合环境。</w:t>
      </w:r>
    </w:p>
    <w:p w14:paraId="19957A14">
      <w:pPr>
        <w:keepNext w:val="0"/>
        <w:keepLines w:val="0"/>
        <w:widowControl/>
        <w:suppressLineNumbers w:val="0"/>
        <w:spacing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4. 灭菌与包装：辐照灭菌，无菌提供；单片/单支密封包装；不含乳胶。</w:t>
      </w:r>
    </w:p>
    <w:p w14:paraId="67763069">
      <w:pPr>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5. 规格：片状（5×5cm、10×10cm 等）、条状/腔塞型多规格分别报价。</w:t>
      </w:r>
    </w:p>
    <w:p w14:paraId="095EE255">
      <w:pPr>
        <w:pStyle w:val="23"/>
        <w:ind w:left="0" w:leftChars="0" w:firstLine="0" w:firstLineChars="0"/>
        <w:jc w:val="both"/>
        <w:rPr>
          <w:rFonts w:hint="eastAsia"/>
          <w:lang w:val="en-US" w:eastAsia="zh-CN"/>
        </w:rPr>
      </w:pPr>
    </w:p>
    <w:p w14:paraId="5533BE98">
      <w:pPr>
        <w:pStyle w:val="22"/>
        <w:ind w:firstLine="480" w:firstLineChars="200"/>
        <w:rPr>
          <w:rFonts w:hint="default"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 xml:space="preserve">注：供应商需携带产品样品、产品彩页、产品说明书、与我院规模相近或更大的三甲教学医院客户的合同或发票等资料。 </w:t>
      </w:r>
    </w:p>
    <w:p w14:paraId="17C09448">
      <w:pPr>
        <w:pStyle w:val="22"/>
        <w:ind w:firstLine="280" w:firstLineChars="0"/>
        <w:rPr>
          <w:rFonts w:hint="default"/>
          <w:color w:val="auto"/>
          <w:lang w:val="en-US" w:eastAsia="zh-CN"/>
        </w:rPr>
      </w:pPr>
    </w:p>
    <w:p w14:paraId="665739FE">
      <w:pPr>
        <w:spacing w:line="400" w:lineRule="exact"/>
        <w:outlineLvl w:val="1"/>
        <w:rPr>
          <w:rFonts w:hint="default" w:ascii="Times New Roman" w:hAnsi="Times New Roman" w:cs="Times New Roman"/>
          <w:b/>
          <w:color w:val="auto"/>
          <w:sz w:val="24"/>
        </w:rPr>
      </w:pPr>
      <w:bookmarkStart w:id="65" w:name="_Toc6540"/>
      <w:r>
        <w:rPr>
          <w:rFonts w:hint="default" w:ascii="Times New Roman" w:hAnsi="Times New Roman" w:cs="Times New Roman"/>
          <w:b/>
          <w:color w:val="auto"/>
          <w:sz w:val="24"/>
        </w:rPr>
        <w:t>二、</w:t>
      </w:r>
      <w:bookmarkEnd w:id="58"/>
      <w:bookmarkEnd w:id="59"/>
      <w:bookmarkEnd w:id="60"/>
      <w:bookmarkEnd w:id="61"/>
      <w:bookmarkEnd w:id="62"/>
      <w:r>
        <w:rPr>
          <w:rFonts w:hint="default" w:ascii="Times New Roman" w:hAnsi="Times New Roman" w:cs="Times New Roman"/>
          <w:b/>
          <w:color w:val="auto"/>
          <w:sz w:val="24"/>
        </w:rPr>
        <w:t>商务需求</w:t>
      </w:r>
      <w:bookmarkEnd w:id="63"/>
      <w:bookmarkEnd w:id="64"/>
      <w:bookmarkEnd w:id="65"/>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6" w:name="_Toc15650"/>
      <w:bookmarkStart w:id="67" w:name="_Toc4791"/>
      <w:bookmarkStart w:id="68" w:name="_Toc1768"/>
      <w:bookmarkStart w:id="69" w:name="_Toc7794"/>
      <w:bookmarkStart w:id="70" w:name="_Toc24122"/>
      <w:bookmarkStart w:id="71" w:name="_Toc76373878"/>
      <w:bookmarkStart w:id="72" w:name="_Toc31843"/>
      <w:bookmarkStart w:id="73" w:name="_Toc17524"/>
      <w:bookmarkStart w:id="74" w:name="_Toc17944"/>
      <w:bookmarkStart w:id="75" w:name="_Toc2072"/>
      <w:bookmarkStart w:id="76"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6"/>
      <w:bookmarkEnd w:id="67"/>
      <w:bookmarkEnd w:id="68"/>
      <w:bookmarkEnd w:id="69"/>
      <w:bookmarkEnd w:id="70"/>
      <w:bookmarkEnd w:id="71"/>
      <w:bookmarkEnd w:id="72"/>
      <w:bookmarkEnd w:id="73"/>
      <w:bookmarkEnd w:id="74"/>
      <w:bookmarkEnd w:id="75"/>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7" w:name="_Toc29836"/>
      <w:bookmarkStart w:id="78" w:name="_Toc5959"/>
      <w:bookmarkStart w:id="79" w:name="_Toc22561"/>
      <w:bookmarkStart w:id="80" w:name="_Toc76373879"/>
      <w:bookmarkStart w:id="81" w:name="_Toc9339"/>
      <w:bookmarkStart w:id="82" w:name="_Toc30551"/>
      <w:bookmarkStart w:id="83" w:name="_Toc14311"/>
      <w:bookmarkStart w:id="84" w:name="_Toc16908"/>
      <w:bookmarkStart w:id="85" w:name="_Toc13528"/>
      <w:bookmarkStart w:id="86" w:name="_Toc28942"/>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6"/>
    <w:bookmarkEnd w:id="77"/>
    <w:bookmarkEnd w:id="78"/>
    <w:bookmarkEnd w:id="79"/>
    <w:bookmarkEnd w:id="80"/>
    <w:bookmarkEnd w:id="81"/>
    <w:bookmarkEnd w:id="82"/>
    <w:bookmarkEnd w:id="83"/>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4"/>
      <w:bookmarkEnd w:id="85"/>
      <w:bookmarkEnd w:id="86"/>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7" w:name="_Toc20772"/>
      <w:bookmarkStart w:id="88" w:name="_Toc2258"/>
      <w:bookmarkStart w:id="89" w:name="_Toc27737"/>
      <w:bookmarkStart w:id="90" w:name="_Toc12384"/>
      <w:bookmarkStart w:id="91" w:name="_Toc27893"/>
      <w:bookmarkStart w:id="92" w:name="_Toc76373885"/>
      <w:bookmarkStart w:id="93" w:name="_Toc20263"/>
      <w:r>
        <w:rPr>
          <w:rFonts w:hint="eastAsia" w:ascii="宋体" w:hAnsi="宋体" w:cs="宋体"/>
          <w:b/>
          <w:color w:val="auto"/>
          <w:szCs w:val="36"/>
        </w:rPr>
        <w:t>第三篇  资格审查及评价办法</w:t>
      </w:r>
      <w:bookmarkEnd w:id="87"/>
      <w:bookmarkEnd w:id="88"/>
      <w:bookmarkEnd w:id="89"/>
      <w:bookmarkEnd w:id="90"/>
      <w:bookmarkEnd w:id="91"/>
      <w:bookmarkEnd w:id="92"/>
      <w:bookmarkEnd w:id="93"/>
    </w:p>
    <w:p w14:paraId="49129F66">
      <w:pPr>
        <w:spacing w:line="400" w:lineRule="exact"/>
        <w:rPr>
          <w:rFonts w:hint="eastAsia" w:cs="宋体"/>
          <w:b/>
          <w:color w:val="auto"/>
          <w:sz w:val="24"/>
        </w:rPr>
      </w:pPr>
      <w:bookmarkStart w:id="94" w:name="_Toc11052"/>
      <w:bookmarkStart w:id="95" w:name="_Toc76373886"/>
      <w:bookmarkStart w:id="96" w:name="_Toc12712"/>
      <w:bookmarkStart w:id="97" w:name="_Toc23699"/>
      <w:bookmarkStart w:id="98" w:name="_Toc28189"/>
      <w:bookmarkStart w:id="99" w:name="_Toc7115"/>
    </w:p>
    <w:p w14:paraId="6C8393AD">
      <w:pPr>
        <w:spacing w:line="400" w:lineRule="exact"/>
        <w:outlineLvl w:val="1"/>
        <w:rPr>
          <w:rFonts w:hint="eastAsia" w:cs="宋体"/>
          <w:b/>
          <w:color w:val="auto"/>
          <w:sz w:val="24"/>
        </w:rPr>
      </w:pPr>
      <w:bookmarkStart w:id="100" w:name="_Toc4818"/>
      <w:r>
        <w:rPr>
          <w:rFonts w:hint="eastAsia" w:cs="宋体"/>
          <w:b/>
          <w:color w:val="auto"/>
          <w:sz w:val="24"/>
        </w:rPr>
        <w:t>一、资格审查及符合性审查</w:t>
      </w:r>
      <w:bookmarkEnd w:id="94"/>
      <w:bookmarkEnd w:id="95"/>
      <w:bookmarkEnd w:id="96"/>
      <w:bookmarkEnd w:id="97"/>
      <w:bookmarkEnd w:id="98"/>
      <w:bookmarkEnd w:id="99"/>
      <w:bookmarkEnd w:id="100"/>
    </w:p>
    <w:p w14:paraId="2EFBDE11">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C05FE70">
      <w:pPr>
        <w:spacing w:line="400" w:lineRule="exact"/>
        <w:outlineLvl w:val="1"/>
        <w:rPr>
          <w:rFonts w:hint="eastAsia" w:cs="宋体"/>
          <w:b/>
          <w:color w:val="auto"/>
          <w:sz w:val="24"/>
        </w:rPr>
      </w:pPr>
      <w:bookmarkStart w:id="101" w:name="_Toc9147"/>
      <w:bookmarkStart w:id="102" w:name="_Toc76373887"/>
      <w:bookmarkStart w:id="103" w:name="_Toc5535"/>
      <w:bookmarkStart w:id="104" w:name="_Toc26754"/>
      <w:bookmarkStart w:id="105" w:name="_Toc31293"/>
      <w:bookmarkStart w:id="106" w:name="_Toc19809"/>
      <w:bookmarkStart w:id="107" w:name="_Toc13585"/>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1"/>
      <w:bookmarkEnd w:id="102"/>
      <w:bookmarkEnd w:id="103"/>
      <w:bookmarkEnd w:id="104"/>
      <w:bookmarkEnd w:id="105"/>
      <w:bookmarkEnd w:id="106"/>
      <w:bookmarkEnd w:id="107"/>
    </w:p>
    <w:p w14:paraId="52B5947B">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5B21B3C9">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032A16F">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64207130">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4DDD785C">
      <w:pPr>
        <w:spacing w:line="400" w:lineRule="exact"/>
        <w:outlineLvl w:val="1"/>
        <w:rPr>
          <w:rFonts w:hint="eastAsia" w:cs="宋体"/>
          <w:b/>
          <w:color w:val="auto"/>
          <w:sz w:val="24"/>
        </w:rPr>
      </w:pPr>
      <w:bookmarkStart w:id="108" w:name="_Toc30068"/>
      <w:bookmarkStart w:id="109" w:name="_Toc2900"/>
      <w:bookmarkStart w:id="110" w:name="_Toc76373889"/>
      <w:bookmarkStart w:id="111" w:name="_Toc5251"/>
      <w:bookmarkStart w:id="112" w:name="_Toc8546"/>
      <w:bookmarkStart w:id="113" w:name="_Toc16925"/>
    </w:p>
    <w:p w14:paraId="4E6C52C8">
      <w:pPr>
        <w:numPr>
          <w:ilvl w:val="0"/>
          <w:numId w:val="0"/>
        </w:numPr>
        <w:spacing w:line="400" w:lineRule="exact"/>
        <w:outlineLvl w:val="1"/>
        <w:rPr>
          <w:rFonts w:hint="eastAsia" w:cs="宋体"/>
          <w:b/>
          <w:color w:val="auto"/>
          <w:sz w:val="24"/>
        </w:rPr>
      </w:pPr>
      <w:bookmarkStart w:id="114" w:name="_Toc13294"/>
      <w:r>
        <w:rPr>
          <w:rFonts w:hint="eastAsia" w:cs="宋体"/>
          <w:b/>
          <w:color w:val="auto"/>
          <w:sz w:val="24"/>
          <w:lang w:eastAsia="zh-CN"/>
        </w:rPr>
        <w:t>三、</w:t>
      </w:r>
      <w:r>
        <w:rPr>
          <w:rFonts w:hint="eastAsia" w:cs="宋体"/>
          <w:b/>
          <w:color w:val="auto"/>
          <w:sz w:val="24"/>
        </w:rPr>
        <w:t>无效竞选条款</w:t>
      </w:r>
      <w:bookmarkEnd w:id="108"/>
      <w:bookmarkEnd w:id="109"/>
      <w:bookmarkEnd w:id="110"/>
      <w:bookmarkEnd w:id="111"/>
      <w:bookmarkEnd w:id="112"/>
      <w:bookmarkEnd w:id="113"/>
      <w:bookmarkEnd w:id="114"/>
    </w:p>
    <w:p w14:paraId="2E4E92AF">
      <w:pPr>
        <w:snapToGrid w:val="0"/>
        <w:spacing w:line="400" w:lineRule="exact"/>
        <w:ind w:firstLine="480" w:firstLineChars="200"/>
        <w:rPr>
          <w:rFonts w:hint="eastAsia" w:ascii="宋体" w:hAnsi="宋体" w:eastAsia="宋体" w:cs="宋体"/>
          <w:color w:val="auto"/>
          <w:sz w:val="24"/>
          <w:szCs w:val="24"/>
        </w:rPr>
      </w:pPr>
      <w:bookmarkStart w:id="115"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5"/>
    </w:p>
    <w:p w14:paraId="185DECC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79EBA25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5FFB007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785462D2">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21A3AFC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196EE3A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3B392772">
      <w:pPr>
        <w:spacing w:line="400" w:lineRule="exact"/>
        <w:outlineLvl w:val="1"/>
        <w:rPr>
          <w:rFonts w:hint="eastAsia" w:cs="宋体"/>
          <w:b/>
          <w:color w:val="auto"/>
          <w:sz w:val="24"/>
        </w:rPr>
      </w:pPr>
      <w:bookmarkStart w:id="116" w:name="_Toc20034"/>
      <w:bookmarkStart w:id="117" w:name="_Toc26071"/>
      <w:bookmarkStart w:id="118" w:name="_Toc11342"/>
      <w:bookmarkStart w:id="119" w:name="_Toc27443"/>
      <w:bookmarkStart w:id="120" w:name="_Toc76373890"/>
      <w:bookmarkStart w:id="121" w:name="_Toc11654"/>
      <w:r>
        <w:rPr>
          <w:rFonts w:hint="eastAsia" w:cs="宋体"/>
          <w:b/>
          <w:color w:val="auto"/>
          <w:sz w:val="24"/>
          <w:lang w:eastAsia="zh-CN"/>
        </w:rPr>
        <w:t>四、</w:t>
      </w:r>
      <w:r>
        <w:rPr>
          <w:rFonts w:hint="eastAsia" w:cs="宋体"/>
          <w:b/>
          <w:color w:val="auto"/>
          <w:sz w:val="24"/>
        </w:rPr>
        <w:t>废标条款</w:t>
      </w:r>
      <w:bookmarkEnd w:id="116"/>
      <w:bookmarkEnd w:id="117"/>
      <w:bookmarkEnd w:id="118"/>
      <w:bookmarkEnd w:id="119"/>
      <w:bookmarkEnd w:id="120"/>
      <w:bookmarkEnd w:id="121"/>
    </w:p>
    <w:p w14:paraId="1C1F690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6FE539C">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770BB443">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08A1AD9D">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22" w:name="_Toc10547"/>
      <w:bookmarkStart w:id="123" w:name="_Toc76373891"/>
      <w:bookmarkStart w:id="124" w:name="_Toc10864"/>
      <w:bookmarkStart w:id="125" w:name="_Toc25199"/>
      <w:bookmarkStart w:id="126" w:name="_Toc27646"/>
      <w:bookmarkStart w:id="127" w:name="_Toc20391"/>
      <w:r>
        <w:rPr>
          <w:rFonts w:hint="eastAsia" w:ascii="宋体" w:hAnsi="宋体" w:cs="宋体"/>
          <w:b/>
          <w:color w:val="auto"/>
          <w:szCs w:val="36"/>
        </w:rPr>
        <w:t xml:space="preserve">第四篇  </w:t>
      </w:r>
      <w:bookmarkStart w:id="128" w:name="_Toc349642178"/>
      <w:bookmarkStart w:id="129" w:name="_Toc258354120"/>
      <w:r>
        <w:rPr>
          <w:rFonts w:hint="eastAsia" w:ascii="宋体" w:hAnsi="宋体" w:cs="宋体"/>
          <w:b/>
          <w:bCs/>
          <w:color w:val="auto"/>
          <w:kern w:val="36"/>
          <w:sz w:val="32"/>
          <w:szCs w:val="21"/>
        </w:rPr>
        <w:t>中选通知及合同</w:t>
      </w:r>
      <w:bookmarkEnd w:id="128"/>
      <w:bookmarkEnd w:id="129"/>
      <w:r>
        <w:rPr>
          <w:rFonts w:hint="eastAsia" w:ascii="宋体" w:hAnsi="宋体" w:cs="宋体"/>
          <w:b/>
          <w:bCs/>
          <w:color w:val="auto"/>
          <w:kern w:val="36"/>
          <w:sz w:val="32"/>
          <w:szCs w:val="21"/>
        </w:rPr>
        <w:t>签订</w:t>
      </w:r>
      <w:bookmarkEnd w:id="122"/>
    </w:p>
    <w:bookmarkEnd w:id="123"/>
    <w:bookmarkEnd w:id="124"/>
    <w:bookmarkEnd w:id="125"/>
    <w:bookmarkEnd w:id="126"/>
    <w:bookmarkEnd w:id="127"/>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30" w:name="_Toc27709"/>
      <w:r>
        <w:rPr>
          <w:rFonts w:hint="eastAsia" w:ascii="宋体" w:hAnsi="宋体" w:cs="宋体"/>
          <w:b/>
          <w:bCs/>
          <w:color w:val="auto"/>
          <w:sz w:val="24"/>
          <w:szCs w:val="24"/>
        </w:rPr>
        <w:t>一</w:t>
      </w:r>
      <w:r>
        <w:rPr>
          <w:rFonts w:hint="eastAsia" w:cs="宋体"/>
          <w:b/>
          <w:color w:val="auto"/>
          <w:sz w:val="24"/>
        </w:rPr>
        <w:t>、中选通知</w:t>
      </w:r>
      <w:bookmarkEnd w:id="130"/>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1" w:name="_Toc29342"/>
      <w:r>
        <w:rPr>
          <w:rFonts w:hint="eastAsia" w:ascii="宋体" w:hAnsi="宋体" w:cs="宋体"/>
          <w:b/>
          <w:bCs/>
          <w:color w:val="auto"/>
          <w:sz w:val="24"/>
          <w:szCs w:val="24"/>
        </w:rPr>
        <w:t>二、</w:t>
      </w:r>
      <w:bookmarkStart w:id="132"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1"/>
      <w:bookmarkEnd w:id="132"/>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3" w:name="_Toc23535"/>
      <w:r>
        <w:rPr>
          <w:rFonts w:hint="eastAsia" w:ascii="宋体" w:hAnsi="宋体" w:cs="宋体"/>
          <w:b/>
          <w:bCs/>
          <w:color w:val="auto"/>
          <w:sz w:val="24"/>
          <w:szCs w:val="24"/>
        </w:rPr>
        <w:t>三、合同协议书的签订</w:t>
      </w:r>
      <w:bookmarkEnd w:id="133"/>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4" w:name="_Toc10698"/>
      <w:r>
        <w:rPr>
          <w:rFonts w:hint="eastAsia" w:ascii="宋体" w:hAnsi="宋体" w:cs="宋体"/>
          <w:b/>
          <w:bCs/>
          <w:color w:val="auto"/>
          <w:sz w:val="24"/>
          <w:szCs w:val="24"/>
        </w:rPr>
        <w:t>四、其它</w:t>
      </w:r>
      <w:bookmarkEnd w:id="134"/>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5" w:name="_Toc20762"/>
      <w:bookmarkStart w:id="136" w:name="_Toc10152"/>
      <w:bookmarkStart w:id="137" w:name="_Toc76373904"/>
      <w:bookmarkStart w:id="138" w:name="_Toc24088"/>
      <w:bookmarkStart w:id="139" w:name="_Toc19409"/>
      <w:bookmarkStart w:id="140" w:name="_Toc2975"/>
      <w:r>
        <w:rPr>
          <w:rFonts w:hint="eastAsia" w:ascii="宋体" w:hAnsi="宋体" w:cs="宋体"/>
          <w:b/>
          <w:color w:val="auto"/>
          <w:szCs w:val="36"/>
        </w:rPr>
        <w:br w:type="column"/>
      </w:r>
      <w:bookmarkEnd w:id="135"/>
      <w:bookmarkEnd w:id="136"/>
      <w:bookmarkEnd w:id="137"/>
      <w:bookmarkEnd w:id="138"/>
      <w:bookmarkEnd w:id="139"/>
      <w:bookmarkEnd w:id="140"/>
    </w:p>
    <w:p w14:paraId="36603897">
      <w:pPr>
        <w:tabs>
          <w:tab w:val="left" w:pos="3360"/>
        </w:tabs>
        <w:spacing w:line="360" w:lineRule="auto"/>
        <w:jc w:val="center"/>
        <w:outlineLvl w:val="0"/>
        <w:rPr>
          <w:rFonts w:hint="eastAsia" w:ascii="宋体" w:hAnsi="宋体" w:cs="宋体"/>
          <w:b/>
          <w:color w:val="auto"/>
          <w:sz w:val="32"/>
          <w:szCs w:val="40"/>
        </w:rPr>
      </w:pPr>
      <w:bookmarkStart w:id="141" w:name="_Toc25920"/>
      <w:bookmarkStart w:id="142" w:name="_Toc16112"/>
      <w:bookmarkStart w:id="143" w:name="_Toc11763"/>
      <w:bookmarkStart w:id="144" w:name="_Toc7750"/>
      <w:bookmarkStart w:id="145" w:name="_Toc11892"/>
      <w:bookmarkStart w:id="146" w:name="_Toc12863"/>
      <w:bookmarkStart w:id="147" w:name="_Toc76373907"/>
      <w:r>
        <w:rPr>
          <w:rFonts w:hint="eastAsia" w:ascii="宋体" w:hAnsi="宋体" w:cs="宋体"/>
          <w:b/>
          <w:color w:val="auto"/>
          <w:sz w:val="32"/>
          <w:szCs w:val="40"/>
        </w:rPr>
        <w:t>第五篇  采购文件格式</w:t>
      </w:r>
      <w:bookmarkEnd w:id="141"/>
      <w:bookmarkEnd w:id="142"/>
      <w:bookmarkEnd w:id="143"/>
      <w:bookmarkEnd w:id="144"/>
      <w:bookmarkEnd w:id="145"/>
      <w:bookmarkEnd w:id="146"/>
      <w:bookmarkEnd w:id="147"/>
    </w:p>
    <w:p w14:paraId="4E1E8451">
      <w:pPr>
        <w:spacing w:line="400" w:lineRule="exact"/>
        <w:ind w:firstLine="482" w:firstLineChars="200"/>
        <w:rPr>
          <w:rFonts w:hint="eastAsia" w:ascii="宋体" w:hAnsi="宋体" w:cs="宋体"/>
          <w:b/>
          <w:bCs/>
          <w:color w:val="auto"/>
          <w:sz w:val="24"/>
          <w:szCs w:val="24"/>
        </w:rPr>
      </w:pPr>
      <w:bookmarkStart w:id="148"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8"/>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9" w:name="OLE_LINK14"/>
      <w:r>
        <w:rPr>
          <w:rFonts w:hint="eastAsia" w:ascii="宋体" w:hAnsi="宋体" w:eastAsia="宋体" w:cs="宋体"/>
          <w:color w:val="auto"/>
          <w:kern w:val="2"/>
          <w:sz w:val="24"/>
          <w:szCs w:val="24"/>
          <w:lang w:val="en-US" w:eastAsia="zh-CN" w:bidi="ar-SA"/>
        </w:rPr>
        <w:t>如</w:t>
      </w:r>
      <w:bookmarkEnd w:id="149"/>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50"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50"/>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17664"/>
      <w:r>
        <w:rPr>
          <w:rFonts w:hint="eastAsia" w:ascii="宋体" w:hAnsi="宋体" w:cs="宋体"/>
          <w:b/>
          <w:bCs/>
          <w:color w:val="auto"/>
          <w:sz w:val="24"/>
          <w:szCs w:val="24"/>
        </w:rPr>
        <w:t>四、技术（质量）文件</w:t>
      </w:r>
      <w:bookmarkEnd w:id="151"/>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2" w:name="_Toc4012"/>
      <w:bookmarkStart w:id="153" w:name="_Toc24824"/>
      <w:r>
        <w:rPr>
          <w:rFonts w:hint="eastAsia" w:ascii="宋体" w:hAnsi="宋体" w:cs="宋体"/>
          <w:b/>
          <w:bCs/>
          <w:color w:val="auto"/>
          <w:sz w:val="24"/>
          <w:szCs w:val="24"/>
        </w:rPr>
        <w:t>五、</w:t>
      </w:r>
      <w:bookmarkEnd w:id="152"/>
      <w:r>
        <w:rPr>
          <w:rFonts w:hint="eastAsia" w:ascii="宋体" w:hAnsi="宋体" w:cs="宋体"/>
          <w:b/>
          <w:bCs/>
          <w:color w:val="auto"/>
          <w:sz w:val="24"/>
          <w:szCs w:val="24"/>
        </w:rPr>
        <w:t>商务文件</w:t>
      </w:r>
      <w:bookmarkEnd w:id="153"/>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4" w:name="_Toc6185"/>
      <w:r>
        <w:rPr>
          <w:rFonts w:hint="eastAsia" w:cs="宋体"/>
          <w:b/>
          <w:bCs/>
          <w:color w:val="auto"/>
          <w:sz w:val="24"/>
          <w:szCs w:val="24"/>
        </w:rPr>
        <w:t>六、</w:t>
      </w:r>
      <w:r>
        <w:rPr>
          <w:rFonts w:hint="eastAsia" w:ascii="宋体" w:hAnsi="宋体" w:cs="宋体"/>
          <w:b/>
          <w:bCs/>
          <w:color w:val="auto"/>
          <w:sz w:val="24"/>
          <w:szCs w:val="24"/>
        </w:rPr>
        <w:t>资格文件</w:t>
      </w:r>
      <w:bookmarkEnd w:id="154"/>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5" w:name="_Toc22827"/>
      <w:bookmarkStart w:id="156" w:name="_Toc3094"/>
      <w:bookmarkStart w:id="157" w:name="_Toc10063"/>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5"/>
      <w:bookmarkEnd w:id="156"/>
      <w:bookmarkEnd w:id="157"/>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3B0A26EC">
      <w:pPr>
        <w:pageBreakBefore/>
        <w:spacing w:line="500" w:lineRule="exact"/>
        <w:outlineLvl w:val="1"/>
        <w:rPr>
          <w:rFonts w:hint="eastAsia" w:cs="宋体"/>
          <w:b/>
          <w:color w:val="auto"/>
          <w:szCs w:val="28"/>
        </w:rPr>
      </w:pPr>
      <w:bookmarkStart w:id="158" w:name="_Toc15483"/>
      <w:bookmarkStart w:id="159" w:name="OLE_LINK9"/>
      <w:bookmarkStart w:id="160"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8"/>
    </w:p>
    <w:bookmarkEnd w:id="159"/>
    <w:p w14:paraId="0D411C87">
      <w:pPr>
        <w:pStyle w:val="22"/>
        <w:rPr>
          <w:rFonts w:hint="eastAsia"/>
          <w:color w:val="auto"/>
        </w:rPr>
      </w:pPr>
    </w:p>
    <w:bookmarkEnd w:id="160"/>
    <w:p w14:paraId="69F73966">
      <w:pPr>
        <w:tabs>
          <w:tab w:val="left" w:pos="2895"/>
        </w:tabs>
        <w:spacing w:line="400" w:lineRule="exact"/>
        <w:ind w:firstLine="480" w:firstLineChars="200"/>
        <w:rPr>
          <w:rFonts w:hint="eastAsia" w:ascii="微软雅黑" w:hAnsi="微软雅黑" w:eastAsia="微软雅黑" w:cs="微软雅黑"/>
          <w:color w:val="auto"/>
          <w:sz w:val="24"/>
          <w:szCs w:val="24"/>
        </w:rPr>
      </w:pPr>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61"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61"/>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62" w:name="OLE_LINK5"/>
      <w:r>
        <w:rPr>
          <w:rFonts w:hint="eastAsia" w:ascii="宋体" w:hAnsi="宋体" w:eastAsia="宋体" w:cs="宋体"/>
          <w:b/>
          <w:color w:val="auto"/>
          <w:sz w:val="36"/>
          <w:szCs w:val="36"/>
        </w:rPr>
        <w:t>开标现场最终报价表</w:t>
      </w:r>
      <w:bookmarkEnd w:id="162"/>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63"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4" w:name="OLE_LINK11"/>
      <w:r>
        <w:rPr>
          <w:rFonts w:hint="eastAsia" w:ascii="宋体" w:hAnsi="宋体" w:eastAsia="宋体" w:cs="宋体"/>
          <w:color w:val="auto"/>
          <w:kern w:val="2"/>
          <w:sz w:val="24"/>
          <w:szCs w:val="24"/>
          <w:lang w:val="en-US" w:eastAsia="zh-CN" w:bidi="ar-SA"/>
        </w:rPr>
        <w:t>专用设备报价表</w:t>
      </w:r>
      <w:bookmarkEnd w:id="163"/>
      <w:bookmarkEnd w:id="164"/>
      <w:bookmarkStart w:id="165" w:name="OLE_LINK18"/>
      <w:r>
        <w:rPr>
          <w:rFonts w:hint="eastAsia" w:eastAsia="宋体" w:cs="宋体"/>
          <w:color w:val="auto"/>
          <w:kern w:val="2"/>
          <w:sz w:val="24"/>
          <w:szCs w:val="24"/>
          <w:lang w:val="en-US" w:eastAsia="zh-CN" w:bidi="ar-SA"/>
        </w:rPr>
        <w:t>(如有)</w:t>
      </w:r>
    </w:p>
    <w:bookmarkEnd w:id="165"/>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6"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6"/>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7" w:name="OLE_LINK17"/>
      <w:r>
        <w:rPr>
          <w:rFonts w:hint="eastAsia" w:ascii="宋体" w:hAnsi="宋体" w:eastAsia="宋体" w:cs="宋体"/>
          <w:color w:val="auto"/>
          <w:kern w:val="2"/>
          <w:sz w:val="24"/>
          <w:szCs w:val="24"/>
          <w:lang w:val="en-US" w:eastAsia="zh-CN" w:bidi="ar-SA"/>
        </w:rPr>
        <w:t>耗材专用设备零配件报价表</w:t>
      </w:r>
      <w:bookmarkEnd w:id="167"/>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8" w:name="_Toc9795"/>
      <w:bookmarkStart w:id="169" w:name="_Toc21431"/>
      <w:bookmarkStart w:id="170" w:name="_Toc76373909"/>
      <w:bookmarkStart w:id="171" w:name="_Toc493178790"/>
      <w:bookmarkStart w:id="172" w:name="_Toc27306"/>
      <w:bookmarkStart w:id="173" w:name="_Toc21830"/>
      <w:bookmarkStart w:id="174" w:name="_Toc23879"/>
      <w:bookmarkStart w:id="175" w:name="_Toc28644"/>
      <w:bookmarkStart w:id="176" w:name="OLE_LINK12"/>
      <w:r>
        <w:rPr>
          <w:rFonts w:hint="eastAsia" w:cs="宋体"/>
          <w:b/>
          <w:color w:val="auto"/>
          <w:szCs w:val="28"/>
        </w:rPr>
        <w:t>二、</w:t>
      </w:r>
      <w:bookmarkEnd w:id="168"/>
      <w:bookmarkEnd w:id="169"/>
      <w:bookmarkEnd w:id="170"/>
      <w:bookmarkEnd w:id="171"/>
      <w:bookmarkEnd w:id="172"/>
      <w:bookmarkEnd w:id="173"/>
      <w:r>
        <w:rPr>
          <w:rFonts w:hint="eastAsia" w:cs="宋体"/>
          <w:b/>
          <w:color w:val="auto"/>
          <w:szCs w:val="28"/>
        </w:rPr>
        <w:t>技术（质量）文件</w:t>
      </w:r>
      <w:bookmarkEnd w:id="174"/>
      <w:bookmarkEnd w:id="175"/>
    </w:p>
    <w:bookmarkEnd w:id="176"/>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7" w:name="_Toc76373910"/>
      <w:bookmarkStart w:id="178" w:name="_Toc492721039"/>
      <w:bookmarkStart w:id="179" w:name="_Toc20875"/>
      <w:bookmarkStart w:id="180" w:name="_Toc20258"/>
      <w:bookmarkStart w:id="181" w:name="_Toc12647"/>
      <w:bookmarkStart w:id="182" w:name="_Toc493178791"/>
      <w:bookmarkStart w:id="183" w:name="_Toc16487"/>
      <w:bookmarkStart w:id="184" w:name="_Toc411"/>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5" w:name="_Toc26764"/>
      <w:r>
        <w:rPr>
          <w:rFonts w:hint="eastAsia" w:cs="宋体"/>
          <w:b/>
          <w:color w:val="auto"/>
          <w:szCs w:val="28"/>
        </w:rPr>
        <w:t>三、商务文件</w:t>
      </w:r>
      <w:bookmarkEnd w:id="177"/>
      <w:bookmarkEnd w:id="178"/>
      <w:bookmarkEnd w:id="179"/>
      <w:bookmarkEnd w:id="180"/>
      <w:bookmarkEnd w:id="181"/>
      <w:bookmarkEnd w:id="182"/>
      <w:bookmarkEnd w:id="183"/>
      <w:bookmarkEnd w:id="184"/>
      <w:bookmarkEnd w:id="185"/>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6" w:name="_Toc492721038"/>
      <w:bookmarkStart w:id="187" w:name="_Toc8925"/>
      <w:bookmarkStart w:id="188" w:name="_Toc493178793"/>
      <w:bookmarkStart w:id="189" w:name="_Toc6217"/>
      <w:bookmarkStart w:id="190" w:name="_Toc19291"/>
      <w:bookmarkStart w:id="191" w:name="_Toc16151"/>
      <w:bookmarkStart w:id="192" w:name="_Toc4250"/>
      <w:bookmarkStart w:id="193" w:name="_Toc20605"/>
      <w:bookmarkStart w:id="194" w:name="_Toc76373912"/>
      <w:r>
        <w:rPr>
          <w:rFonts w:hint="eastAsia" w:cs="宋体"/>
          <w:b/>
          <w:color w:val="auto"/>
          <w:szCs w:val="28"/>
        </w:rPr>
        <w:t>四、资格文件</w:t>
      </w:r>
      <w:bookmarkEnd w:id="186"/>
      <w:bookmarkEnd w:id="187"/>
      <w:bookmarkEnd w:id="188"/>
      <w:bookmarkEnd w:id="189"/>
      <w:bookmarkEnd w:id="190"/>
      <w:bookmarkEnd w:id="191"/>
      <w:bookmarkEnd w:id="192"/>
      <w:bookmarkEnd w:id="193"/>
      <w:bookmarkEnd w:id="194"/>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5" w:name="_Toc27718"/>
      <w:r>
        <w:rPr>
          <w:rFonts w:hint="eastAsia" w:ascii="宋体" w:hAnsi="宋体" w:cs="宋体"/>
          <w:color w:val="auto"/>
        </w:rPr>
        <w:br w:type="column"/>
      </w:r>
      <w:r>
        <w:rPr>
          <w:rFonts w:hint="eastAsia" w:cs="宋体"/>
          <w:b/>
          <w:color w:val="auto"/>
          <w:szCs w:val="28"/>
        </w:rPr>
        <w:t>五、商业活动廉洁经营承诺书</w:t>
      </w:r>
      <w:bookmarkEnd w:id="195"/>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0FFBDF15">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A6AC93E-A7AC-4CBC-AFBB-C000A2AAACE2}"/>
  </w:font>
  <w:font w:name="黑体">
    <w:panose1 w:val="02010609060101010101"/>
    <w:charset w:val="86"/>
    <w:family w:val="auto"/>
    <w:pitch w:val="default"/>
    <w:sig w:usb0="800002BF" w:usb1="38CF7CFA" w:usb2="00000016" w:usb3="00000000" w:csb0="00040001" w:csb1="00000000"/>
    <w:embedRegular r:id="rId2" w:fontKey="{8F1F1E92-C665-48F9-96CE-26FE67EDC4C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A7B288A-2A3F-4946-A856-5AAA0F59D8E4}"/>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4" w:fontKey="{E617797D-E18F-4CE4-ACF3-5B619761F83D}"/>
  </w:font>
  <w:font w:name="Arial Unicode MS">
    <w:panose1 w:val="020B0604020202020204"/>
    <w:charset w:val="86"/>
    <w:family w:val="roman"/>
    <w:pitch w:val="default"/>
    <w:sig w:usb0="FFFFFFFF" w:usb1="E9FFFFFF" w:usb2="0000003F" w:usb3="00000000" w:csb0="603F01FF" w:csb1="FFFF0000"/>
    <w:embedRegular r:id="rId5" w:fontKey="{3A9BE091-B8D9-4B57-B205-F56E727DD636}"/>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6" w:fontKey="{AC2D5DF2-613F-4198-BD20-38924869C25B}"/>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7" w:fontKey="{E7AFB080-1590-4863-9715-1D6FCAB97F7C}"/>
  </w:font>
  <w:font w:name="方正黑体_GBK">
    <w:panose1 w:val="03000509000000000000"/>
    <w:charset w:val="86"/>
    <w:family w:val="script"/>
    <w:pitch w:val="default"/>
    <w:sig w:usb0="00000001" w:usb1="080E0000" w:usb2="00000000" w:usb3="00000000" w:csb0="00040000" w:csb1="00000000"/>
    <w:embedRegular r:id="rId8" w:fontKey="{B0A12D70-2386-48C9-A327-5762A6BC27BA}"/>
  </w:font>
  <w:font w:name="方正小标宋_GBK">
    <w:panose1 w:val="03000509000000000000"/>
    <w:charset w:val="86"/>
    <w:family w:val="script"/>
    <w:pitch w:val="default"/>
    <w:sig w:usb0="00000001" w:usb1="080E0000" w:usb2="00000000" w:usb3="00000000" w:csb0="00040000" w:csb1="00000000"/>
    <w:embedRegular r:id="rId9" w:fontKey="{8C53F2E8-E73D-4CA7-85A0-BD6F1086C354}"/>
  </w:font>
  <w:font w:name="Segoe UI">
    <w:panose1 w:val="020B0502040204020203"/>
    <w:charset w:val="00"/>
    <w:family w:val="auto"/>
    <w:pitch w:val="default"/>
    <w:sig w:usb0="E4002EFF" w:usb1="C000E47F" w:usb2="00000009" w:usb3="00000000" w:csb0="200001FF" w:csb1="00000000"/>
    <w:embedRegular r:id="rId10" w:fontKey="{E30CA657-55F3-4A3E-8E49-7B8400E9C713}"/>
  </w:font>
  <w:font w:name="微软雅黑">
    <w:panose1 w:val="020B0503020204020204"/>
    <w:charset w:val="86"/>
    <w:family w:val="swiss"/>
    <w:pitch w:val="default"/>
    <w:sig w:usb0="80000287" w:usb1="2ACF3C50" w:usb2="00000016" w:usb3="00000000" w:csb0="0004001F" w:csb1="00000000"/>
    <w:embedRegular r:id="rId11" w:fontKey="{05743433-B2CF-4100-83B8-2FEC9EF9F56D}"/>
  </w:font>
  <w:font w:name="仿宋">
    <w:panose1 w:val="02010609060101010101"/>
    <w:charset w:val="86"/>
    <w:family w:val="modern"/>
    <w:pitch w:val="default"/>
    <w:sig w:usb0="800002BF" w:usb1="38CF7CFA" w:usb2="00000016" w:usb3="00000000" w:csb0="00040001" w:csb1="00000000"/>
    <w:embedRegular r:id="rId12" w:fontKey="{124DCDB3-DD6F-4492-BCC0-DA7014053404}"/>
  </w:font>
  <w:font w:name="WPSEMBED13">
    <w:panose1 w:val="03000509000000000000"/>
    <w:charset w:val="86"/>
    <w:family w:val="auto"/>
    <w:pitch w:val="default"/>
    <w:sig w:usb0="00000001" w:usb1="080E0000" w:usb2="00000000" w:usb3="00000000" w:csb0="00040000" w:csb1="00000000"/>
  </w:font>
  <w:font w:name="WPSEMBED14">
    <w:panose1 w:val="03000509000000000000"/>
    <w:charset w:val="86"/>
    <w:family w:val="auto"/>
    <w:pitch w:val="default"/>
    <w:sig w:usb0="00000001" w:usb1="080E0000" w:usb2="00000000" w:usb3="00000000" w:csb0="00040000" w:csb1="00000000"/>
  </w:font>
  <w:font w:name="WPSEMBED11">
    <w:panose1 w:val="02010609030101010101"/>
    <w:charset w:val="86"/>
    <w:family w:val="auto"/>
    <w:pitch w:val="default"/>
    <w:sig w:usb0="00000001" w:usb1="080E0000" w:usb2="00000000" w:usb3="00000000" w:csb0="00040000" w:csb1="00000000"/>
  </w:font>
  <w:font w:name="WPSEMBED15">
    <w:panose1 w:val="03000509000000000000"/>
    <w:charset w:val="86"/>
    <w:family w:val="auto"/>
    <w:pitch w:val="default"/>
    <w:sig w:usb0="00000001" w:usb1="080E0000" w:usb2="00000000" w:usb3="00000000" w:csb0="00040000" w:csb1="00000000"/>
  </w:font>
  <w:font w:name="WPSEMBED12">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8F2294"/>
    <w:multiLevelType w:val="singleLevel"/>
    <w:tmpl w:val="628F2294"/>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7CF"/>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50135"/>
    <w:rsid w:val="01FB7EF6"/>
    <w:rsid w:val="024271AE"/>
    <w:rsid w:val="027C5214"/>
    <w:rsid w:val="02AC07E3"/>
    <w:rsid w:val="02E45A44"/>
    <w:rsid w:val="02EB67A7"/>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4825E9"/>
    <w:rsid w:val="06537889"/>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D52009"/>
    <w:rsid w:val="09DB54E7"/>
    <w:rsid w:val="09EC78BF"/>
    <w:rsid w:val="0A0E31A7"/>
    <w:rsid w:val="0A140428"/>
    <w:rsid w:val="0A264F34"/>
    <w:rsid w:val="0A79472F"/>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8B1EE6"/>
    <w:rsid w:val="0C9150D4"/>
    <w:rsid w:val="0C995743"/>
    <w:rsid w:val="0CB000BF"/>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40186"/>
    <w:rsid w:val="0ED65CAC"/>
    <w:rsid w:val="0EFE3455"/>
    <w:rsid w:val="0F293464"/>
    <w:rsid w:val="0F297032"/>
    <w:rsid w:val="0F2A424A"/>
    <w:rsid w:val="0F730F48"/>
    <w:rsid w:val="0F732090"/>
    <w:rsid w:val="0F786E19"/>
    <w:rsid w:val="0F9D3E41"/>
    <w:rsid w:val="0FB512B5"/>
    <w:rsid w:val="0FC21262"/>
    <w:rsid w:val="0FD06B9F"/>
    <w:rsid w:val="0FF07A4E"/>
    <w:rsid w:val="103E1A08"/>
    <w:rsid w:val="10A45717"/>
    <w:rsid w:val="10AC5161"/>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E52DC4"/>
    <w:rsid w:val="13F02804"/>
    <w:rsid w:val="140D0766"/>
    <w:rsid w:val="147246C9"/>
    <w:rsid w:val="148B50A7"/>
    <w:rsid w:val="14922675"/>
    <w:rsid w:val="14B33F1B"/>
    <w:rsid w:val="156B048A"/>
    <w:rsid w:val="158D4B19"/>
    <w:rsid w:val="15BE1509"/>
    <w:rsid w:val="15E2587E"/>
    <w:rsid w:val="16B60DAC"/>
    <w:rsid w:val="16B76298"/>
    <w:rsid w:val="16D01B7A"/>
    <w:rsid w:val="16D71809"/>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DC235C"/>
    <w:rsid w:val="1E0868EA"/>
    <w:rsid w:val="1E2E192B"/>
    <w:rsid w:val="1E3649B9"/>
    <w:rsid w:val="1E37496F"/>
    <w:rsid w:val="1E770B63"/>
    <w:rsid w:val="1E9952FE"/>
    <w:rsid w:val="1EB902E5"/>
    <w:rsid w:val="1EBC0009"/>
    <w:rsid w:val="1EDF1AE0"/>
    <w:rsid w:val="1EE405B4"/>
    <w:rsid w:val="1EFB7F8A"/>
    <w:rsid w:val="1F264D74"/>
    <w:rsid w:val="1F3D184A"/>
    <w:rsid w:val="1F4924CA"/>
    <w:rsid w:val="1F5618CC"/>
    <w:rsid w:val="1F6068FA"/>
    <w:rsid w:val="1F954680"/>
    <w:rsid w:val="1FC059EA"/>
    <w:rsid w:val="1FF24910"/>
    <w:rsid w:val="1FF87B4F"/>
    <w:rsid w:val="1FFB37C4"/>
    <w:rsid w:val="20112FE8"/>
    <w:rsid w:val="204C2272"/>
    <w:rsid w:val="207F49AA"/>
    <w:rsid w:val="20971013"/>
    <w:rsid w:val="20CA7543"/>
    <w:rsid w:val="20F22653"/>
    <w:rsid w:val="211B40C5"/>
    <w:rsid w:val="215869F4"/>
    <w:rsid w:val="216252EF"/>
    <w:rsid w:val="217A2796"/>
    <w:rsid w:val="217B1C68"/>
    <w:rsid w:val="21DC692A"/>
    <w:rsid w:val="21F61A98"/>
    <w:rsid w:val="21FC1A76"/>
    <w:rsid w:val="227C2A8F"/>
    <w:rsid w:val="229A1929"/>
    <w:rsid w:val="22C2179C"/>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B4266"/>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391C87"/>
    <w:rsid w:val="2955739D"/>
    <w:rsid w:val="299C670B"/>
    <w:rsid w:val="299F1664"/>
    <w:rsid w:val="29C260B1"/>
    <w:rsid w:val="29D67050"/>
    <w:rsid w:val="29DD03DE"/>
    <w:rsid w:val="2A1059CA"/>
    <w:rsid w:val="2A417CC7"/>
    <w:rsid w:val="2A61691A"/>
    <w:rsid w:val="2AA32FDC"/>
    <w:rsid w:val="2ABA73DE"/>
    <w:rsid w:val="2ACA2711"/>
    <w:rsid w:val="2AF57FA3"/>
    <w:rsid w:val="2AFE060C"/>
    <w:rsid w:val="2B0C5FF2"/>
    <w:rsid w:val="2B285A09"/>
    <w:rsid w:val="2B3264F9"/>
    <w:rsid w:val="2B48517B"/>
    <w:rsid w:val="2B723D14"/>
    <w:rsid w:val="2B8B0759"/>
    <w:rsid w:val="2B9351F9"/>
    <w:rsid w:val="2B9B21BC"/>
    <w:rsid w:val="2BA52AAD"/>
    <w:rsid w:val="2BA91CBB"/>
    <w:rsid w:val="2BB51860"/>
    <w:rsid w:val="2BB62C95"/>
    <w:rsid w:val="2BE13314"/>
    <w:rsid w:val="2C0B6D4E"/>
    <w:rsid w:val="2C1D3DF7"/>
    <w:rsid w:val="2C6F14EE"/>
    <w:rsid w:val="2C73502A"/>
    <w:rsid w:val="2C8B47F3"/>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3B5201"/>
    <w:rsid w:val="30A734F4"/>
    <w:rsid w:val="30A91101"/>
    <w:rsid w:val="30A91DD9"/>
    <w:rsid w:val="30B30929"/>
    <w:rsid w:val="30D47F19"/>
    <w:rsid w:val="30DC4F4C"/>
    <w:rsid w:val="315076E8"/>
    <w:rsid w:val="315471D8"/>
    <w:rsid w:val="315B58E2"/>
    <w:rsid w:val="315F792B"/>
    <w:rsid w:val="318850D4"/>
    <w:rsid w:val="31AD2A0C"/>
    <w:rsid w:val="31B934DF"/>
    <w:rsid w:val="31BF65A8"/>
    <w:rsid w:val="31C0486E"/>
    <w:rsid w:val="32240245"/>
    <w:rsid w:val="322A64C1"/>
    <w:rsid w:val="322E3DE8"/>
    <w:rsid w:val="32777805"/>
    <w:rsid w:val="328C18BE"/>
    <w:rsid w:val="32FD2138"/>
    <w:rsid w:val="330F782B"/>
    <w:rsid w:val="331C3D26"/>
    <w:rsid w:val="33242BDA"/>
    <w:rsid w:val="3344118A"/>
    <w:rsid w:val="33585719"/>
    <w:rsid w:val="33871A8A"/>
    <w:rsid w:val="338F274A"/>
    <w:rsid w:val="33945C1B"/>
    <w:rsid w:val="33AA1331"/>
    <w:rsid w:val="33D22636"/>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BF6165"/>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53563"/>
    <w:rsid w:val="4E0E0A20"/>
    <w:rsid w:val="4E326C84"/>
    <w:rsid w:val="4E6A0F63"/>
    <w:rsid w:val="4E6D76D3"/>
    <w:rsid w:val="4EA8070C"/>
    <w:rsid w:val="4EBA5E8A"/>
    <w:rsid w:val="4ECE0172"/>
    <w:rsid w:val="4F1E2ED6"/>
    <w:rsid w:val="4F5D5052"/>
    <w:rsid w:val="4F6463E1"/>
    <w:rsid w:val="4F6552B7"/>
    <w:rsid w:val="4F6B3C13"/>
    <w:rsid w:val="501E2A33"/>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6F4DF0"/>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001AF"/>
    <w:rsid w:val="58523BC2"/>
    <w:rsid w:val="5853126A"/>
    <w:rsid w:val="58AB7DFB"/>
    <w:rsid w:val="58C6053D"/>
    <w:rsid w:val="591F781C"/>
    <w:rsid w:val="59314528"/>
    <w:rsid w:val="59374B66"/>
    <w:rsid w:val="596671F9"/>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6D0DBF"/>
    <w:rsid w:val="5C7659A5"/>
    <w:rsid w:val="5C820917"/>
    <w:rsid w:val="5C961BA3"/>
    <w:rsid w:val="5CA7535F"/>
    <w:rsid w:val="5CB2531C"/>
    <w:rsid w:val="5CC67BF9"/>
    <w:rsid w:val="5CEB1EEF"/>
    <w:rsid w:val="5D013021"/>
    <w:rsid w:val="5D316CFC"/>
    <w:rsid w:val="5D8F4F70"/>
    <w:rsid w:val="5D910810"/>
    <w:rsid w:val="5DB2461B"/>
    <w:rsid w:val="5E1A2D9C"/>
    <w:rsid w:val="5E1D4C3B"/>
    <w:rsid w:val="5E3C5408"/>
    <w:rsid w:val="5E410EE7"/>
    <w:rsid w:val="5E4A5266"/>
    <w:rsid w:val="5E79028D"/>
    <w:rsid w:val="5E79352B"/>
    <w:rsid w:val="5EBC2507"/>
    <w:rsid w:val="5ED45FB3"/>
    <w:rsid w:val="5ED5716B"/>
    <w:rsid w:val="5EF157B7"/>
    <w:rsid w:val="5F074FDA"/>
    <w:rsid w:val="5F253C57"/>
    <w:rsid w:val="5F2C33BA"/>
    <w:rsid w:val="5F4C6348"/>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31D5A96"/>
    <w:rsid w:val="63212E5F"/>
    <w:rsid w:val="634E3CB8"/>
    <w:rsid w:val="637864A7"/>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33F3E"/>
    <w:rsid w:val="6878475E"/>
    <w:rsid w:val="68911619"/>
    <w:rsid w:val="68987360"/>
    <w:rsid w:val="68E120E0"/>
    <w:rsid w:val="68EE53C3"/>
    <w:rsid w:val="690D6222"/>
    <w:rsid w:val="6910701A"/>
    <w:rsid w:val="691B4A3D"/>
    <w:rsid w:val="69286279"/>
    <w:rsid w:val="69485746"/>
    <w:rsid w:val="695B4D2F"/>
    <w:rsid w:val="695B664F"/>
    <w:rsid w:val="69B566C5"/>
    <w:rsid w:val="69B739BE"/>
    <w:rsid w:val="69BE1080"/>
    <w:rsid w:val="69F525FF"/>
    <w:rsid w:val="6A340CE3"/>
    <w:rsid w:val="6A4073A3"/>
    <w:rsid w:val="6A464C09"/>
    <w:rsid w:val="6A6662F1"/>
    <w:rsid w:val="6A703F54"/>
    <w:rsid w:val="6A814E63"/>
    <w:rsid w:val="6A843983"/>
    <w:rsid w:val="6A8C759C"/>
    <w:rsid w:val="6A8F3072"/>
    <w:rsid w:val="6A905041"/>
    <w:rsid w:val="6AAA73EA"/>
    <w:rsid w:val="6AAD07CD"/>
    <w:rsid w:val="6AAD6A36"/>
    <w:rsid w:val="6ACE4BFE"/>
    <w:rsid w:val="6ADD6E0F"/>
    <w:rsid w:val="6B19396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CD2479"/>
    <w:rsid w:val="6FD13561"/>
    <w:rsid w:val="6FEA4288"/>
    <w:rsid w:val="70005C2A"/>
    <w:rsid w:val="706F343A"/>
    <w:rsid w:val="70741C73"/>
    <w:rsid w:val="70AE175A"/>
    <w:rsid w:val="70B12840"/>
    <w:rsid w:val="70C154D4"/>
    <w:rsid w:val="70D2369A"/>
    <w:rsid w:val="70D53553"/>
    <w:rsid w:val="70E138DD"/>
    <w:rsid w:val="70EE5FFA"/>
    <w:rsid w:val="70F250FA"/>
    <w:rsid w:val="71575410"/>
    <w:rsid w:val="7157594D"/>
    <w:rsid w:val="71663DE2"/>
    <w:rsid w:val="718129CA"/>
    <w:rsid w:val="71A52D40"/>
    <w:rsid w:val="71A62431"/>
    <w:rsid w:val="71AE0AEF"/>
    <w:rsid w:val="71D01493"/>
    <w:rsid w:val="71D13952"/>
    <w:rsid w:val="722B0B6F"/>
    <w:rsid w:val="723809FA"/>
    <w:rsid w:val="724461BD"/>
    <w:rsid w:val="72737630"/>
    <w:rsid w:val="72A058EB"/>
    <w:rsid w:val="72BA3161"/>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C229B"/>
    <w:rsid w:val="7C046963"/>
    <w:rsid w:val="7C297682"/>
    <w:rsid w:val="7C544A6F"/>
    <w:rsid w:val="7C5B3AC5"/>
    <w:rsid w:val="7C925001"/>
    <w:rsid w:val="7CA85F50"/>
    <w:rsid w:val="7CBA4D22"/>
    <w:rsid w:val="7CD4168E"/>
    <w:rsid w:val="7CD76D83"/>
    <w:rsid w:val="7CF44998"/>
    <w:rsid w:val="7CF535F7"/>
    <w:rsid w:val="7D3C24FE"/>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 w:val="7FFF7B2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25</Pages>
  <Words>527</Words>
  <Characters>540</Characters>
  <Lines>101</Lines>
  <Paragraphs>28</Paragraphs>
  <TotalTime>2</TotalTime>
  <ScaleCrop>false</ScaleCrop>
  <LinksUpToDate>false</LinksUpToDate>
  <CharactersWithSpaces>629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Hello</cp:lastModifiedBy>
  <cp:lastPrinted>2025-05-22T03:57:00Z</cp:lastPrinted>
  <dcterms:modified xsi:type="dcterms:W3CDTF">2026-08-11T07:17:17Z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82C2EA0F93ED4954BD93411BC017189A_13</vt:lpwstr>
  </property>
  <property fmtid="{D5CDD505-2E9C-101B-9397-08002B2CF9AE}" pid="4" name="KSOTemplateDocerSaveRecord">
    <vt:lpwstr>eyJoZGlkIjoiMzc1OGNlMDJlMzRlMzMzYmE1ZjU3MzU3ZjgyMjI5MWIiLCJ1c2VySWQiOiIxMjgyNDcwNjU2In0=</vt:lpwstr>
  </property>
</Properties>
</file>