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9641E">
      <w:pPr>
        <w:spacing w:before="400" w:after="300" w:line="360" w:lineRule="auto"/>
        <w:jc w:val="center"/>
        <w:rPr>
          <w:color w:val="auto"/>
        </w:rPr>
      </w:pPr>
      <w:r>
        <w:rPr>
          <w:rFonts w:hint="eastAsia" w:ascii="Arial" w:hAnsi="Arial" w:eastAsia="微软雅黑"/>
          <w:b/>
          <w:bCs/>
          <w:color w:val="auto"/>
          <w:sz w:val="44"/>
          <w:szCs w:val="44"/>
        </w:rPr>
        <w:t>重庆市双向转诊平台</w:t>
      </w:r>
      <w:r>
        <w:rPr>
          <w:rFonts w:ascii="Arial" w:hAnsi="Arial" w:eastAsia="微软雅黑"/>
          <w:b/>
          <w:bCs/>
          <w:color w:val="auto"/>
          <w:sz w:val="44"/>
          <w:szCs w:val="44"/>
        </w:rPr>
        <w:t>项目采购需求</w:t>
      </w:r>
    </w:p>
    <w:p w14:paraId="5909F197">
      <w:pPr>
        <w:rPr>
          <w:color w:val="auto"/>
        </w:rPr>
      </w:pPr>
    </w:p>
    <w:p w14:paraId="5BAD63C4">
      <w:pPr>
        <w:pStyle w:val="2"/>
        <w:rPr>
          <w:color w:val="auto"/>
        </w:rPr>
      </w:pPr>
      <w:r>
        <w:rPr>
          <w:rFonts w:ascii="Arial" w:hAnsi="Arial" w:eastAsia="微软雅黑"/>
          <w:b/>
          <w:bCs/>
          <w:color w:val="auto"/>
          <w:sz w:val="32"/>
          <w:szCs w:val="32"/>
        </w:rPr>
        <w:t>项目概况</w:t>
      </w:r>
    </w:p>
    <w:p w14:paraId="5387E61F">
      <w:pPr>
        <w:spacing w:after="60" w:line="360" w:lineRule="atLeast"/>
        <w:ind w:firstLine="420" w:firstLineChars="200"/>
        <w:rPr>
          <w:rFonts w:ascii="Arial" w:hAnsi="Arial" w:eastAsia="微软雅黑"/>
          <w:color w:val="auto"/>
          <w:sz w:val="21"/>
          <w:szCs w:val="21"/>
        </w:rPr>
      </w:pPr>
      <w:r>
        <w:rPr>
          <w:rFonts w:ascii="Arial" w:hAnsi="Arial" w:eastAsia="微软雅黑"/>
          <w:color w:val="auto"/>
          <w:sz w:val="21"/>
          <w:szCs w:val="21"/>
        </w:rPr>
        <w:t>为贯彻落实数字重庆建设部署，落地重庆市卫生健康委《关于开展重庆市级双向转诊平台建设和应用试点工作的通知》文件要求，破解当前全市转诊流程不规范、转诊标准不统一、诊疗连续性不足、优质医疗资源上下割裂等痛点，由重庆医科大学附属第二医院牵头承建市 - 区（县）- 乡镇（社区）- 村四级一体化双向转诊平台，设立实体化市级双向转诊中心，搭建标准化线上转诊闭环体系。</w:t>
      </w:r>
    </w:p>
    <w:p w14:paraId="65363532">
      <w:pPr>
        <w:spacing w:after="60" w:line="360" w:lineRule="atLeast"/>
        <w:ind w:firstLine="480"/>
        <w:rPr>
          <w:rFonts w:ascii="Arial" w:hAnsi="Arial" w:eastAsia="微软雅黑"/>
          <w:color w:val="auto"/>
          <w:sz w:val="21"/>
          <w:szCs w:val="21"/>
        </w:rPr>
      </w:pPr>
      <w:r>
        <w:rPr>
          <w:rFonts w:ascii="Arial" w:hAnsi="Arial" w:eastAsia="微软雅黑"/>
          <w:color w:val="auto"/>
          <w:sz w:val="21"/>
          <w:szCs w:val="21"/>
        </w:rPr>
        <w:t>本平台覆盖市级三甲医院、区县医疗机构、基层乡镇 / 村卫生室全层级机构，实现上转、下转、市级平级转诊全流程线上办理，配套数据驾驶舱、HIS 系统对接、全流程权限管控等数字化能力。</w:t>
      </w:r>
    </w:p>
    <w:p w14:paraId="6C75237F">
      <w:pPr>
        <w:spacing w:after="60" w:line="360" w:lineRule="atLeast"/>
        <w:ind w:firstLine="480"/>
        <w:rPr>
          <w:rFonts w:ascii="Arial" w:hAnsi="Arial" w:eastAsia="微软雅黑"/>
          <w:color w:val="auto"/>
          <w:sz w:val="21"/>
          <w:szCs w:val="21"/>
        </w:rPr>
      </w:pPr>
      <w:r>
        <w:rPr>
          <w:rFonts w:ascii="Arial" w:hAnsi="Arial" w:eastAsia="微软雅黑"/>
          <w:color w:val="auto"/>
          <w:sz w:val="21"/>
          <w:szCs w:val="21"/>
        </w:rPr>
        <w:t>本需求文件用于邀请厂商开展方案讲解、开展项目阳光推介、厂商技术应答并提交商务报价、采购选型、项目验收，作为全项目实施标准依据。系统</w:t>
      </w:r>
      <w:r>
        <w:rPr>
          <w:rFonts w:hint="eastAsia"/>
          <w:color w:val="auto"/>
          <w:sz w:val="21"/>
          <w:szCs w:val="21"/>
          <w:lang w:val="en-US" w:eastAsia="zh-CN"/>
        </w:rPr>
        <w:t>架构</w:t>
      </w:r>
      <w:r>
        <w:rPr>
          <w:rFonts w:ascii="Arial" w:hAnsi="Arial" w:eastAsia="微软雅黑"/>
          <w:color w:val="auto"/>
          <w:sz w:val="21"/>
          <w:szCs w:val="21"/>
        </w:rPr>
        <w:t>需</w:t>
      </w:r>
      <w:r>
        <w:rPr>
          <w:rFonts w:hint="eastAsia"/>
          <w:color w:val="auto"/>
          <w:sz w:val="21"/>
          <w:szCs w:val="21"/>
          <w:lang w:val="en-US" w:eastAsia="zh-CN"/>
        </w:rPr>
        <w:t>支持</w:t>
      </w:r>
      <w:r>
        <w:rPr>
          <w:rFonts w:ascii="Arial" w:hAnsi="Arial" w:eastAsia="微软雅黑"/>
          <w:color w:val="auto"/>
          <w:sz w:val="21"/>
          <w:szCs w:val="21"/>
        </w:rPr>
        <w:t>全市所有二级及以上医院、基层医疗机构分批接入，支持全市医护、管理人员同步在线操作，满足大规模并发业务访问。</w:t>
      </w:r>
    </w:p>
    <w:p w14:paraId="376F3882">
      <w:pPr>
        <w:pStyle w:val="2"/>
        <w:rPr>
          <w:color w:val="auto"/>
        </w:rPr>
      </w:pPr>
      <w:r>
        <w:rPr>
          <w:rFonts w:ascii="Arial" w:hAnsi="Arial" w:eastAsia="微软雅黑"/>
          <w:b/>
          <w:bCs/>
          <w:color w:val="auto"/>
          <w:sz w:val="32"/>
          <w:szCs w:val="32"/>
        </w:rPr>
        <w:t>总体建设目标</w:t>
      </w:r>
    </w:p>
    <w:p w14:paraId="2E557ECF">
      <w:pPr>
        <w:spacing w:after="60" w:line="360" w:lineRule="atLeast"/>
        <w:ind w:firstLine="420" w:firstLineChars="20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搭建全市统一四级转诊底座：</w:t>
      </w:r>
      <w:r>
        <w:rPr>
          <w:rFonts w:hint="eastAsia" w:ascii="Arial" w:hAnsi="Arial" w:eastAsia="微软雅黑"/>
          <w:color w:val="auto"/>
          <w:sz w:val="21"/>
          <w:szCs w:val="21"/>
        </w:rPr>
        <w:t>建成覆盖市、区县、乡镇（社区）、村医疗机构的一体化双向转诊平台，统一转诊表单、病种标准、审核流程，实现存量区县平台利旧、无平台区县下放操作权限双路径接入。</w:t>
      </w:r>
    </w:p>
    <w:p w14:paraId="4240E86A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实现转诊业务全流程线上闭环：</w:t>
      </w:r>
      <w:r>
        <w:rPr>
          <w:rFonts w:hint="eastAsia" w:ascii="Arial" w:hAnsi="Arial" w:eastAsia="微软雅黑"/>
          <w:color w:val="auto"/>
          <w:sz w:val="21"/>
          <w:szCs w:val="21"/>
        </w:rPr>
        <w:t>标准化转诊申请、分级审核、病历</w:t>
      </w:r>
      <w:r>
        <w:rPr>
          <w:rFonts w:hint="eastAsia"/>
          <w:color w:val="auto"/>
          <w:sz w:val="21"/>
          <w:szCs w:val="21"/>
          <w:lang w:val="en-US" w:eastAsia="zh-CN"/>
        </w:rPr>
        <w:t>信息</w:t>
      </w:r>
      <w:r>
        <w:rPr>
          <w:rFonts w:hint="eastAsia" w:ascii="Arial" w:hAnsi="Arial" w:eastAsia="微软雅黑"/>
          <w:color w:val="auto"/>
          <w:sz w:val="21"/>
          <w:szCs w:val="21"/>
        </w:rPr>
        <w:t>流转、转诊</w:t>
      </w:r>
      <w:r>
        <w:rPr>
          <w:rFonts w:hint="eastAsia"/>
          <w:color w:val="auto"/>
          <w:sz w:val="21"/>
          <w:szCs w:val="21"/>
          <w:lang w:val="en-US" w:eastAsia="zh-CN"/>
        </w:rPr>
        <w:t>接收</w:t>
      </w:r>
      <w:r>
        <w:rPr>
          <w:rFonts w:hint="eastAsia" w:ascii="Arial" w:hAnsi="Arial" w:eastAsia="微软雅黑"/>
          <w:color w:val="auto"/>
          <w:sz w:val="21"/>
          <w:szCs w:val="21"/>
        </w:rPr>
        <w:t>处置全线上办理，区分普通转诊、急危重症绿色通道转诊、市级平级转诊三类业务模式。</w:t>
      </w:r>
    </w:p>
    <w:p w14:paraId="63EB1F7A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建立全市统一转诊质控体系：</w:t>
      </w:r>
      <w:r>
        <w:rPr>
          <w:rFonts w:hint="eastAsia" w:ascii="Arial" w:hAnsi="Arial" w:eastAsia="微软雅黑"/>
          <w:color w:val="auto"/>
          <w:sz w:val="21"/>
          <w:szCs w:val="21"/>
        </w:rPr>
        <w:t>内置 ICD-10 标准疾病库、3-5 套标准化病种转诊指南，</w:t>
      </w:r>
      <w:r>
        <w:rPr>
          <w:rFonts w:ascii="Arial" w:hAnsi="Arial" w:eastAsia="微软雅黑"/>
          <w:color w:val="auto"/>
          <w:sz w:val="21"/>
          <w:szCs w:val="21"/>
        </w:rPr>
        <w:t>系统</w:t>
      </w:r>
      <w:r>
        <w:rPr>
          <w:rFonts w:hint="eastAsia"/>
          <w:color w:val="auto"/>
          <w:sz w:val="21"/>
          <w:szCs w:val="21"/>
          <w:lang w:val="en-US" w:eastAsia="zh-CN"/>
        </w:rPr>
        <w:t>架构</w:t>
      </w:r>
      <w:r>
        <w:rPr>
          <w:rFonts w:ascii="Arial" w:hAnsi="Arial" w:eastAsia="微软雅黑"/>
          <w:color w:val="auto"/>
          <w:sz w:val="21"/>
          <w:szCs w:val="21"/>
        </w:rPr>
        <w:t>需</w:t>
      </w:r>
      <w:r>
        <w:rPr>
          <w:rFonts w:hint="eastAsia"/>
          <w:color w:val="auto"/>
          <w:sz w:val="21"/>
          <w:szCs w:val="21"/>
          <w:lang w:val="en-US" w:eastAsia="zh-CN"/>
        </w:rPr>
        <w:t>支持</w:t>
      </w:r>
      <w:r>
        <w:rPr>
          <w:rFonts w:hint="eastAsia" w:ascii="Arial" w:hAnsi="Arial" w:eastAsia="微软雅黑"/>
          <w:color w:val="auto"/>
          <w:sz w:val="21"/>
          <w:szCs w:val="21"/>
        </w:rPr>
        <w:t>接入 AI 临床路径质控，实现转诊行为智能校验、违规预警、质量自动评估。</w:t>
      </w:r>
    </w:p>
    <w:p w14:paraId="6323CA15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数字化监管与智能调度：</w:t>
      </w:r>
      <w:r>
        <w:rPr>
          <w:rFonts w:hint="eastAsia" w:ascii="Arial" w:hAnsi="Arial" w:eastAsia="微软雅黑"/>
          <w:color w:val="auto"/>
          <w:sz w:val="21"/>
          <w:szCs w:val="21"/>
        </w:rPr>
        <w:t>搭建可视化数据驾驶舱，实时监控转诊总量、转诊流向、办理时效、区县业务排行、病种分布，支持智能调度与</w:t>
      </w:r>
      <w:r>
        <w:rPr>
          <w:rFonts w:hint="eastAsia"/>
          <w:color w:val="auto"/>
          <w:sz w:val="21"/>
          <w:szCs w:val="21"/>
          <w:lang w:val="en-US" w:eastAsia="zh-CN"/>
        </w:rPr>
        <w:t>数据决策支持</w:t>
      </w:r>
      <w:r>
        <w:rPr>
          <w:rFonts w:hint="eastAsia" w:ascii="Arial" w:hAnsi="Arial" w:eastAsia="微软雅黑"/>
          <w:color w:val="auto"/>
          <w:sz w:val="21"/>
          <w:szCs w:val="21"/>
        </w:rPr>
        <w:t>，支撑市卫健委督导评估。</w:t>
      </w:r>
    </w:p>
    <w:p w14:paraId="273ED086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  <w:lang w:eastAsia="zh-CN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多系统互联互通集成：</w:t>
      </w:r>
      <w:r>
        <w:rPr>
          <w:rFonts w:hint="eastAsia" w:ascii="Arial" w:hAnsi="Arial" w:eastAsia="微软雅黑"/>
          <w:color w:val="auto"/>
          <w:sz w:val="21"/>
          <w:szCs w:val="21"/>
        </w:rPr>
        <w:t>在支持接入重庆医科大学附属第二医院院内HIS 系统、智慧医院、互联网医院、会诊系统和转诊系统的基础上，优先保障卫健委要求的其他试点医院的接入</w:t>
      </w:r>
      <w:r>
        <w:rPr>
          <w:rFonts w:hint="eastAsia"/>
          <w:color w:val="auto"/>
          <w:sz w:val="21"/>
          <w:szCs w:val="21"/>
          <w:lang w:eastAsia="zh-CN"/>
        </w:rPr>
        <w:t>（</w:t>
      </w:r>
      <w:r>
        <w:rPr>
          <w:rFonts w:hint="eastAsia"/>
          <w:color w:val="auto"/>
          <w:sz w:val="21"/>
          <w:szCs w:val="21"/>
          <w:lang w:val="en-US" w:eastAsia="zh-CN"/>
        </w:rPr>
        <w:t>接入费用另行商议</w:t>
      </w:r>
      <w:r>
        <w:rPr>
          <w:rFonts w:hint="eastAsia"/>
          <w:color w:val="auto"/>
          <w:sz w:val="21"/>
          <w:szCs w:val="21"/>
          <w:lang w:eastAsia="zh-CN"/>
        </w:rPr>
        <w:t>）</w:t>
      </w:r>
      <w:r>
        <w:rPr>
          <w:rFonts w:hint="eastAsia" w:ascii="Arial" w:hAnsi="Arial" w:eastAsia="微软雅黑"/>
          <w:color w:val="auto"/>
          <w:sz w:val="21"/>
          <w:szCs w:val="21"/>
          <w:lang w:eastAsia="zh-CN"/>
        </w:rPr>
        <w:t>。</w:t>
      </w:r>
    </w:p>
    <w:p w14:paraId="160A3245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精细化分级权限管控：</w:t>
      </w:r>
      <w:r>
        <w:rPr>
          <w:rFonts w:hint="eastAsia" w:ascii="Arial" w:hAnsi="Arial" w:eastAsia="微软雅黑"/>
          <w:color w:val="auto"/>
          <w:sz w:val="21"/>
          <w:szCs w:val="21"/>
        </w:rPr>
        <w:t>按四级医疗机构层级自动限制转诊范围，配置院级、科级双重审核权限，账号、角色、机构分层管理，超范围转诊自动拦截。</w:t>
      </w:r>
    </w:p>
    <w:p w14:paraId="713E0CEF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b/>
          <w:bCs/>
          <w:color w:val="auto"/>
          <w:sz w:val="21"/>
          <w:szCs w:val="21"/>
        </w:rPr>
        <w:t>全链路数据安全合规：</w:t>
      </w:r>
      <w:r>
        <w:rPr>
          <w:rFonts w:hint="eastAsia" w:ascii="Arial" w:hAnsi="Arial" w:eastAsia="微软雅黑"/>
          <w:color w:val="auto"/>
          <w:sz w:val="21"/>
          <w:szCs w:val="21"/>
        </w:rPr>
        <w:t>完整留存全操作审计日志，落实网络安全、医疗数据、患者个人信息保护法规，满足等保、医疗数据合规要求。</w:t>
      </w:r>
    </w:p>
    <w:p w14:paraId="60CE77E1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  <w:lang w:val="en-US" w:eastAsia="zh-CN"/>
        </w:rPr>
      </w:pPr>
      <w:r>
        <w:rPr>
          <w:rFonts w:ascii="Arial" w:hAnsi="Arial" w:eastAsia="微软雅黑"/>
          <w:b/>
          <w:bCs/>
          <w:color w:val="auto"/>
          <w:sz w:val="21"/>
          <w:szCs w:val="21"/>
        </w:rPr>
        <w:t>传输链路安全加密：</w:t>
      </w:r>
      <w:r>
        <w:rPr>
          <w:rFonts w:ascii="Arial" w:hAnsi="Arial" w:eastAsia="微软雅黑"/>
          <w:color w:val="auto"/>
          <w:sz w:val="21"/>
          <w:szCs w:val="21"/>
        </w:rPr>
        <w:t>外网所有访问流量采用国密算法、SSL高强度双重加密传输，杜绝数据窃听、篡改、劫持风险，保障远程办公数据传输全过程安全。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</w:p>
    <w:p w14:paraId="75DA7109">
      <w:pPr>
        <w:pStyle w:val="2"/>
        <w:rPr>
          <w:color w:val="auto"/>
        </w:rPr>
      </w:pPr>
      <w:r>
        <w:rPr>
          <w:rFonts w:ascii="Arial" w:hAnsi="Arial" w:eastAsia="微软雅黑"/>
          <w:b/>
          <w:bCs/>
          <w:color w:val="auto"/>
          <w:sz w:val="32"/>
          <w:szCs w:val="32"/>
        </w:rPr>
        <w:t>核心技术功能需求</w:t>
      </w:r>
    </w:p>
    <w:p w14:paraId="376C6417">
      <w:pPr>
        <w:numPr>
          <w:ilvl w:val="0"/>
          <w:numId w:val="2"/>
        </w:num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color w:val="auto"/>
          <w:sz w:val="30"/>
        </w:rPr>
      </w:pPr>
      <w:bookmarkStart w:id="0" w:name="heading_3"/>
      <w:r>
        <w:rPr>
          <w:rFonts w:ascii="Arial" w:hAnsi="Arial" w:eastAsia="等线" w:cs="Arial"/>
          <w:b/>
          <w:color w:val="auto"/>
          <w:sz w:val="30"/>
        </w:rPr>
        <w:t>平台统一管理后台能力（电脑端）</w:t>
      </w:r>
      <w:bookmarkEnd w:id="0"/>
    </w:p>
    <w:p w14:paraId="16199C7B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多模式安全登录：支持账号密码、短信验证码、图形验证码三重登录校验，支持自主修改密码、账号注销退出，抵御暴力登录。</w:t>
      </w:r>
    </w:p>
    <w:p w14:paraId="6AF16A51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转诊基础参数配置：支持全局转诊表单、审核流程自定义配置；独立配置院级、科级两级审核权限；</w:t>
      </w:r>
    </w:p>
    <w:p w14:paraId="2E7F8F92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统一维护全市 ICD-10 疾病标准目录，作为转诊诊断强制选项；单独配置急危重症绿色通道病种清单，急救转诊可跳过层级校验。</w:t>
      </w:r>
    </w:p>
    <w:p w14:paraId="50FDAECC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四级医疗机构组织管理：后台维护全市完整四级医疗架构，支持院区、科室、医护、联络员信息新增、编辑、停用、删除，按行政区划编号区分层级。</w:t>
      </w:r>
    </w:p>
    <w:p w14:paraId="40649459">
      <w:pPr>
        <w:spacing w:after="60" w:line="360" w:lineRule="atLeast"/>
        <w:ind w:firstLine="480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医联体体系管理：统一管理医联体合作医院、科室、联络员账号，支持按人员、科室、机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构状态检索，灵活启停医联体协作权限。</w:t>
      </w:r>
    </w:p>
    <w:p w14:paraId="3ED8AE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系统集成与账号权限管理：支持创建四级机构管理员、医护账号；自定义角色，分配菜单、数据、转诊操作权限；统一维护机构层级字典，作为统计、权限底层口径；完成</w:t>
      </w:r>
      <w:r>
        <w:rPr>
          <w:rFonts w:hint="eastAsia" w:ascii="微软雅黑" w:hAnsi="微软雅黑" w:cs="微软雅黑"/>
          <w:color w:val="auto"/>
          <w:sz w:val="21"/>
          <w:szCs w:val="21"/>
          <w:lang w:eastAsia="zh-CN"/>
        </w:rPr>
        <w:t>重庆医科大学附属第二医院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院内HIS 系统、智慧医院、互联网医院、会诊系统和转诊系统的数据对接，</w:t>
      </w:r>
      <w:r>
        <w:rPr>
          <w:rFonts w:hint="eastAsia" w:ascii="Arial" w:hAnsi="Arial" w:eastAsia="微软雅黑"/>
          <w:color w:val="auto"/>
          <w:sz w:val="21"/>
          <w:szCs w:val="21"/>
        </w:rPr>
        <w:t>同步患者</w:t>
      </w:r>
      <w:r>
        <w:rPr>
          <w:rFonts w:hint="eastAsia"/>
          <w:color w:val="auto"/>
          <w:sz w:val="21"/>
          <w:szCs w:val="21"/>
          <w:lang w:val="en-US" w:eastAsia="zh-CN"/>
        </w:rPr>
        <w:t>信息、线下线上就医记录、就诊</w:t>
      </w:r>
      <w:r>
        <w:rPr>
          <w:rFonts w:hint="eastAsia" w:ascii="Arial" w:hAnsi="Arial" w:eastAsia="微软雅黑"/>
          <w:color w:val="auto"/>
          <w:sz w:val="21"/>
          <w:szCs w:val="21"/>
        </w:rPr>
        <w:t>病历</w:t>
      </w:r>
      <w:r>
        <w:rPr>
          <w:rFonts w:hint="eastAsia"/>
          <w:color w:val="auto"/>
          <w:sz w:val="21"/>
          <w:szCs w:val="21"/>
          <w:lang w:eastAsia="zh-CN"/>
        </w:rPr>
        <w:t>、</w:t>
      </w:r>
      <w:r>
        <w:rPr>
          <w:rFonts w:hint="eastAsia"/>
          <w:color w:val="auto"/>
          <w:sz w:val="21"/>
          <w:szCs w:val="21"/>
          <w:lang w:val="en-US" w:eastAsia="zh-CN"/>
        </w:rPr>
        <w:t>就诊处方</w:t>
      </w:r>
      <w:r>
        <w:rPr>
          <w:rFonts w:hint="eastAsia"/>
          <w:color w:val="auto"/>
          <w:sz w:val="21"/>
          <w:szCs w:val="21"/>
          <w:lang w:eastAsia="zh-CN"/>
        </w:rPr>
        <w:t>、</w:t>
      </w:r>
      <w:r>
        <w:rPr>
          <w:rFonts w:hint="eastAsia"/>
          <w:color w:val="auto"/>
          <w:sz w:val="21"/>
          <w:szCs w:val="21"/>
          <w:lang w:val="en-US" w:eastAsia="zh-CN"/>
        </w:rPr>
        <w:t>检查检查报告等</w:t>
      </w:r>
      <w:r>
        <w:rPr>
          <w:rFonts w:hint="eastAsia" w:ascii="Arial" w:hAnsi="Arial" w:eastAsia="微软雅黑"/>
          <w:color w:val="auto"/>
          <w:sz w:val="21"/>
          <w:szCs w:val="21"/>
        </w:rPr>
        <w:t>信息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。</w:t>
      </w:r>
    </w:p>
    <w:p w14:paraId="085B2B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全量操作日志审计：完整记录账号登录、转诊审批、数据查询、配置修改、接口调用全行为日志，支持检索、导出、长期留存，满足审计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监管的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溯源要求。</w:t>
      </w:r>
    </w:p>
    <w:p w14:paraId="1DDE1931">
      <w:pPr>
        <w:spacing w:after="60" w:line="360" w:lineRule="atLeast"/>
        <w:ind w:firstLine="480"/>
        <w:rPr>
          <w:rFonts w:hint="eastAsia" w:ascii="Arial" w:hAnsi="Arial" w:eastAsia="微软雅黑"/>
          <w:color w:val="auto"/>
          <w:sz w:val="21"/>
          <w:szCs w:val="21"/>
          <w:lang w:eastAsia="zh-CN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转诊流转规则管控</w:t>
      </w:r>
      <w:r>
        <w:rPr>
          <w:rFonts w:hint="eastAsia" w:ascii="Arial" w:hAnsi="Arial" w:eastAsia="微软雅黑"/>
          <w:color w:val="auto"/>
          <w:sz w:val="21"/>
          <w:szCs w:val="21"/>
          <w:lang w:eastAsia="zh-CN"/>
        </w:rPr>
        <w:t>：</w:t>
      </w:r>
    </w:p>
    <w:p w14:paraId="35A1CD2B">
      <w:pPr>
        <w:numPr>
          <w:ilvl w:val="0"/>
          <w:numId w:val="3"/>
        </w:numPr>
        <w:spacing w:after="60" w:line="360" w:lineRule="atLeast"/>
        <w:ind w:left="840" w:leftChars="0" w:hanging="420" w:firstLineChars="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市级平转白名单配置：限定市级三甲、专科中心互转科室、病种、办理时限，区分普通平转、急危重症绿色通道转诊模式；</w:t>
      </w:r>
    </w:p>
    <w:p w14:paraId="403CEE13">
      <w:pPr>
        <w:numPr>
          <w:ilvl w:val="0"/>
          <w:numId w:val="3"/>
        </w:numPr>
        <w:spacing w:after="60" w:line="360" w:lineRule="atLeast"/>
        <w:ind w:left="840" w:leftChars="0" w:hanging="420" w:firstLineChars="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市级下转规则：按康复、慢病稳定、术后恢复期设置区县接收准入病种；</w:t>
      </w:r>
    </w:p>
    <w:p w14:paraId="398C954D">
      <w:pPr>
        <w:numPr>
          <w:ilvl w:val="0"/>
          <w:numId w:val="3"/>
        </w:numPr>
        <w:spacing w:after="60" w:line="360" w:lineRule="atLeast"/>
        <w:ind w:left="840" w:leftChars="0" w:hanging="420" w:firstLineChars="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区县上 / 下转范围：区县可定向匹配市级接收医院，向下仅限本辖区基层机构；</w:t>
      </w:r>
    </w:p>
    <w:p w14:paraId="4972CB1D">
      <w:pPr>
        <w:numPr>
          <w:ilvl w:val="0"/>
          <w:numId w:val="3"/>
        </w:numPr>
        <w:spacing w:after="60" w:line="360" w:lineRule="atLeast"/>
        <w:ind w:left="840" w:leftChars="0" w:hanging="420" w:firstLineChars="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基层机构转诊限制：基层仅可上转绑定区县医院，无备案禁止跨级直转市级，急救通道豁免校验；</w:t>
      </w:r>
    </w:p>
    <w:p w14:paraId="5FF22C8F">
      <w:pPr>
        <w:numPr>
          <w:ilvl w:val="0"/>
          <w:numId w:val="3"/>
        </w:numPr>
        <w:spacing w:after="60" w:line="360" w:lineRule="atLeast"/>
        <w:ind w:left="840" w:leftChars="0" w:hanging="420" w:firstLineChars="0"/>
        <w:rPr>
          <w:rFonts w:hint="eastAsia" w:ascii="Arial" w:hAnsi="Arial" w:eastAsia="微软雅黑"/>
          <w:color w:val="auto"/>
          <w:sz w:val="21"/>
          <w:szCs w:val="21"/>
        </w:rPr>
      </w:pPr>
      <w:r>
        <w:rPr>
          <w:rFonts w:hint="eastAsia" w:ascii="Arial" w:hAnsi="Arial" w:eastAsia="微软雅黑"/>
          <w:color w:val="auto"/>
          <w:sz w:val="21"/>
          <w:szCs w:val="21"/>
        </w:rPr>
        <w:t>四级层级智能权限管控：系统自动识别机构层级，校验转入转出合规范围，违规弹窗拦截。</w:t>
      </w:r>
    </w:p>
    <w:p w14:paraId="7920E067">
      <w:pPr>
        <w:spacing w:before="300" w:after="120" w:line="288" w:lineRule="auto"/>
        <w:ind w:left="0"/>
        <w:jc w:val="left"/>
        <w:outlineLvl w:val="2"/>
        <w:rPr>
          <w:color w:val="auto"/>
        </w:rPr>
      </w:pPr>
      <w:bookmarkStart w:id="1" w:name="heading_4"/>
      <w:r>
        <w:rPr>
          <w:rFonts w:ascii="Arial" w:hAnsi="Arial" w:eastAsia="等线" w:cs="Arial"/>
          <w:b/>
          <w:color w:val="auto"/>
          <w:sz w:val="30"/>
        </w:rPr>
        <w:t>（二）多机构业务操作端能力</w:t>
      </w:r>
      <w:bookmarkEnd w:id="1"/>
    </w:p>
    <w:p w14:paraId="081385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分为市级三甲医生端、区县医院端、基层医疗机构端，三类终端共用标准化业务功能，按机构层级自动限制转诊范围：</w:t>
      </w:r>
    </w:p>
    <w:p w14:paraId="149549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安全登录体系：统一支持密码、短信验证码、图形验证码登录，支持密码自主修改、账号注销。</w:t>
      </w:r>
    </w:p>
    <w:p w14:paraId="56A320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转诊台账归档管理：独立分类展示本级机构平转、上转、下转全部历史记录，支持按医院、科室、病种、时间、转诊状态多维度筛选，可查看完整审批流程、病历流转记录。</w:t>
      </w:r>
    </w:p>
    <w:p w14:paraId="1B4916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审核流程自定义适配：后台可灵活配置上下转单级 / 两级审核，区分平转、上下转差异化审批流程。</w:t>
      </w:r>
    </w:p>
    <w:p w14:paraId="4939AA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双向转诊业务办理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：</w:t>
      </w:r>
    </w:p>
    <w:p w14:paraId="5C6EEF5B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转出列表：查看待审核、已提交转诊单，未办结单据支持撤销；</w:t>
      </w:r>
    </w:p>
    <w:p w14:paraId="073F8ED7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转入列表：查看外部转入申请，查看患者完整转诊资料；</w:t>
      </w:r>
    </w:p>
    <w:p w14:paraId="5719D83B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分级转诊发起：基层 / 区县可向上发起转诊，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支持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同步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上传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患者电子病历、检验检查报告；市级 / 区县可向下发起慢病、康复类转诊，同步治疗方案、用药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处方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；市级医院之间可发起平级转诊；</w:t>
      </w:r>
    </w:p>
    <w:p w14:paraId="24FF49AE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转诊审核：按后台预设流程执行院级 + 科级双重审核，支持同意、驳回操作，驳回需填写原因；</w:t>
      </w:r>
    </w:p>
    <w:p w14:paraId="1CE39E8D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层级智能校验：发起转诊时自动校验机构流转权限，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危急重症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模式一键放开限制；</w:t>
      </w:r>
    </w:p>
    <w:p w14:paraId="6B70FF3E">
      <w:pPr>
        <w:numPr>
          <w:ilvl w:val="0"/>
          <w:numId w:val="4"/>
        </w:numPr>
        <w:spacing w:before="120" w:after="120" w:line="288" w:lineRule="auto"/>
        <w:ind w:left="840" w:leftChars="0" w:hanging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单据导出打印：转诊单、入院通知单支持 PDF 预览、下载、打印，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前期仅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对接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重庆医科大学附属第二医院的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 xml:space="preserve"> HIS 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系统并支持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自动生成入院单。</w:t>
      </w:r>
    </w:p>
    <w:p w14:paraId="63D877F0">
      <w:pPr>
        <w:spacing w:before="300" w:after="120" w:line="288" w:lineRule="auto"/>
        <w:ind w:left="0"/>
        <w:jc w:val="left"/>
        <w:outlineLvl w:val="2"/>
        <w:rPr>
          <w:color w:val="auto"/>
        </w:rPr>
      </w:pPr>
      <w:bookmarkStart w:id="2" w:name="heading_5"/>
      <w:r>
        <w:rPr>
          <w:rFonts w:ascii="Arial" w:hAnsi="Arial" w:eastAsia="等线" w:cs="Arial"/>
          <w:b/>
          <w:color w:val="auto"/>
          <w:sz w:val="30"/>
        </w:rPr>
        <w:t>（三）可视化数据驾驶舱监管能力</w:t>
      </w:r>
      <w:bookmarkEnd w:id="2"/>
    </w:p>
    <w:p w14:paraId="79A168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多维度区域切换：支持全市、区县、街道三级数据视图切换，支持手动实时刷新数据。</w:t>
      </w:r>
    </w:p>
    <w:p w14:paraId="349AF9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核心转诊指标总览：汇总展示转诊总单量、基层上转量、市级下转量、平级转诊量、日均转诊、覆盖机构数、待办工单、</w:t>
      </w:r>
      <w:r>
        <w:rPr>
          <w:rFonts w:hint="eastAsia" w:ascii="微软雅黑" w:hAnsi="微软雅黑" w:cs="微软雅黑"/>
          <w:color w:val="auto"/>
          <w:sz w:val="21"/>
          <w:szCs w:val="21"/>
          <w:lang w:val="en-US" w:eastAsia="zh-CN"/>
        </w:rPr>
        <w:t>工单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预警等核心指标，支持一键跳转明细。</w:t>
      </w:r>
    </w:p>
    <w:p w14:paraId="6BF19B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转诊结构与趋势分析：按转诊类型</w:t>
      </w:r>
      <w:bookmarkStart w:id="3" w:name="_GoBack"/>
      <w:bookmarkEnd w:id="3"/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展示占比分布；按月度生成转诊总量同比、环比趋势图表，支持明细数据导出查询。</w:t>
      </w:r>
    </w:p>
    <w:p w14:paraId="3C61A9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市域地图可视化：地图展示各区县转诊业务总量、机构间转诊流向，支持缩放、区域点击交互查看详情。</w:t>
      </w:r>
    </w:p>
    <w:p w14:paraId="03C527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流程实时监控：区分待受理、办理中、已办结、驳回四类工单实时统计，支持穿透查看基层机构明细。</w:t>
      </w:r>
    </w:p>
    <w:p w14:paraId="327677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业务排行与质量评估：自动生成区县转诊业务排行、高频转诊病种排行；展示转诊满意度、基层承接率、平均响应时长等考核指标，支撑转诊质量评估。</w:t>
      </w:r>
    </w:p>
    <w:p w14:paraId="78E96749">
      <w:pPr>
        <w:pStyle w:val="2"/>
        <w:rPr>
          <w:color w:val="auto"/>
        </w:rPr>
      </w:pPr>
      <w:r>
        <w:rPr>
          <w:rFonts w:ascii="Arial" w:hAnsi="Arial" w:eastAsia="微软雅黑"/>
          <w:b/>
          <w:bCs/>
          <w:color w:val="auto"/>
          <w:sz w:val="32"/>
          <w:szCs w:val="32"/>
        </w:rPr>
        <w:t>核心性能指标</w:t>
      </w:r>
    </w:p>
    <w:p w14:paraId="7F3A3CF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并发承载能力：</w:t>
      </w:r>
      <w:r>
        <w:rPr>
          <w:color w:val="auto"/>
        </w:rPr>
        <w:t xml:space="preserve">平台可同时容纳不少于 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000 名医护、管理员在线并发操作，高峰转诊提交、审核无卡顿、无请求超时。</w:t>
      </w:r>
    </w:p>
    <w:p w14:paraId="17BD6316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页面响应速度：</w:t>
      </w:r>
      <w:r>
        <w:rPr>
          <w:color w:val="auto"/>
        </w:rPr>
        <w:t>登录、转诊单打开、台账查询响应≤</w:t>
      </w:r>
      <w:r>
        <w:rPr>
          <w:rFonts w:hint="eastAsia"/>
          <w:color w:val="auto"/>
          <w:lang w:val="en-US" w:eastAsia="zh-CN"/>
        </w:rPr>
        <w:t>3</w:t>
      </w:r>
      <w:r>
        <w:rPr>
          <w:color w:val="auto"/>
        </w:rPr>
        <w:t>秒；驾驶舱图表加载≤</w:t>
      </w:r>
      <w:r>
        <w:rPr>
          <w:rFonts w:hint="eastAsia"/>
          <w:color w:val="auto"/>
          <w:lang w:val="en-US" w:eastAsia="zh-CN"/>
        </w:rPr>
        <w:t>5</w:t>
      </w:r>
      <w:r>
        <w:rPr>
          <w:color w:val="auto"/>
        </w:rPr>
        <w:t xml:space="preserve"> 秒；批量导出单据响应≤5 秒。</w:t>
      </w:r>
    </w:p>
    <w:p w14:paraId="167C49C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运行稳定性：</w:t>
      </w:r>
      <w:r>
        <w:rPr>
          <w:color w:val="auto"/>
        </w:rPr>
        <w:t>支持 7×24 小时不间断稳定运行，</w:t>
      </w:r>
      <w:r>
        <w:rPr>
          <w:rFonts w:ascii="Arial" w:hAnsi="Arial" w:eastAsia="微软雅黑"/>
          <w:color w:val="auto"/>
          <w:sz w:val="21"/>
          <w:szCs w:val="21"/>
        </w:rPr>
        <w:t>设备故障率低，具备高可用运行能力</w:t>
      </w:r>
      <w:r>
        <w:rPr>
          <w:color w:val="auto"/>
        </w:rPr>
        <w:t>。</w:t>
      </w:r>
    </w:p>
    <w:p w14:paraId="31E9495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安全传输性能：</w:t>
      </w:r>
      <w:r>
        <w:rPr>
          <w:color w:val="auto"/>
        </w:rPr>
        <w:t>平台内外网访问均采用 SSL 加密传输患者医疗数据，接口调用签名验签，防止病历、个人信息泄露、篡改。</w:t>
      </w:r>
    </w:p>
    <w:p w14:paraId="6C70A1F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系统扩展性：</w:t>
      </w:r>
      <w:r>
        <w:rPr>
          <w:color w:val="auto"/>
        </w:rPr>
        <w:t>支持后续新增区县、医疗机构快速接入，新增病种转诊规范、监管指标无需重构底层架构；兼容存量第三方基层诊疗、医联体系统对接。</w:t>
      </w:r>
    </w:p>
    <w:p w14:paraId="082E29E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hanging="360" w:firstLineChars="0"/>
        <w:rPr>
          <w:color w:val="auto"/>
        </w:rPr>
      </w:pPr>
      <w:r>
        <w:rPr>
          <w:b/>
          <w:bCs/>
          <w:color w:val="auto"/>
        </w:rPr>
        <w:t>终端兼容性：</w:t>
      </w:r>
      <w:r>
        <w:rPr>
          <w:color w:val="auto"/>
        </w:rPr>
        <w:t>管理端、业务端、驾驶舱适配 Windows、国产操作系统浏览器，兼容主流 Chrome、Edge、国产浏览器。</w:t>
      </w:r>
    </w:p>
    <w:sectPr>
      <w:headerReference r:id="rId5" w:type="default"/>
      <w:footerReference r:id="rId6" w:type="default"/>
      <w:pgSz w:w="11906" w:h="16838"/>
      <w:pgMar w:top="2098" w:right="1474" w:bottom="1984" w:left="1587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5BDA3">
    <w:pPr>
      <w:jc w:val="center"/>
    </w:pPr>
    <w:r>
      <w:rPr>
        <w:rFonts w:ascii="Arial" w:hAnsi="Arial" w:eastAsia="微软雅黑"/>
        <w:sz w:val="18"/>
        <w:szCs w:val="18"/>
      </w:rPr>
      <w:t xml:space="preserve">— </w:t>
    </w:r>
    <w:r>
      <w:rPr>
        <w:rFonts w:ascii="Arial" w:hAnsi="Arial" w:eastAsia="微软雅黑"/>
        <w:sz w:val="18"/>
        <w:szCs w:val="18"/>
      </w:rPr>
      <w:fldChar w:fldCharType="begin"/>
    </w:r>
    <w:r>
      <w:rPr>
        <w:rFonts w:ascii="Arial" w:hAnsi="Arial" w:eastAsia="微软雅黑"/>
        <w:sz w:val="18"/>
        <w:szCs w:val="18"/>
      </w:rPr>
      <w:instrText xml:space="preserve">PAGE</w:instrText>
    </w:r>
    <w:r>
      <w:rPr>
        <w:rFonts w:ascii="Arial" w:hAnsi="Arial" w:eastAsia="微软雅黑"/>
        <w:sz w:val="18"/>
        <w:szCs w:val="18"/>
      </w:rPr>
      <w:fldChar w:fldCharType="separate"/>
    </w:r>
    <w:r>
      <w:rPr>
        <w:rFonts w:ascii="Arial" w:hAnsi="Arial" w:eastAsia="微软雅黑"/>
        <w:sz w:val="18"/>
        <w:szCs w:val="18"/>
      </w:rPr>
      <w:fldChar w:fldCharType="end"/>
    </w:r>
    <w:r>
      <w:rPr>
        <w:rFonts w:ascii="Arial" w:hAnsi="Arial" w:eastAsia="微软雅黑"/>
        <w:sz w:val="18"/>
        <w:szCs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48272"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4097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0275" cy="34988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A96F89">
                          <w:pPr>
                            <w:jc w:val="both"/>
                          </w:pPr>
                        </w:p>
                      </w:txbxContent>
                    </wps:txbx>
                    <wps:bodyPr wrap="square" lIns="0" tIns="0" rIns="91440" bIns="45720" anchor="b"/>
                  </wps:wsp>
                </a:graphicData>
              </a:graphic>
            </wp:anchor>
          </w:drawing>
        </mc:Choice>
        <mc:Fallback>
          <w:pict>
            <v:rect id="Watermark" o:spid="_x0000_s1026" o:spt="1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OiboXXAAAABAEAAA8AAAAAAAAAAQAgAAAAIgAAAGRycy9kb3ducmV2LnhtbFBLAQIUABQA&#10;AAAIAIdO4kCBQNECuAEAAHM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 w14:paraId="33A96F89">
                    <w:pPr>
                      <w:jc w:val="both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2">
    <w:nsid w:val="00000002"/>
    <w:multiLevelType w:val="multilevel"/>
    <w:tmpl w:val="00000002"/>
    <w:lvl w:ilvl="0" w:tentative="0">
      <w:start w:val="1"/>
      <w:numFmt w:val="chineseCounting"/>
      <w:pStyle w:val="2"/>
      <w:lvlText w:val="%1、"/>
      <w:lvlJc w:val="left"/>
      <w:pPr>
        <w:ind w:left="0" w:hanging="432"/>
      </w:pPr>
    </w:lvl>
    <w:lvl w:ilvl="1" w:tentative="0">
      <w:start w:val="1"/>
      <w:numFmt w:val="chineseCounting"/>
      <w:pStyle w:val="3"/>
      <w:lvlText w:val="（%2）"/>
      <w:lvlJc w:val="left"/>
      <w:pPr>
        <w:ind w:left="432" w:hanging="432"/>
      </w:pPr>
    </w:lvl>
    <w:lvl w:ilvl="2" w:tentative="0">
      <w:start w:val="1"/>
      <w:numFmt w:val="decimal"/>
      <w:pStyle w:val="4"/>
      <w:lvlText w:val="%3."/>
      <w:lvlJc w:val="left"/>
      <w:pPr>
        <w:ind w:left="864" w:hanging="432"/>
      </w:pPr>
    </w:lvl>
  </w:abstractNum>
  <w:abstractNum w:abstractNumId="3">
    <w:nsid w:val="00000003"/>
    <w:multiLevelType w:val="multilevel"/>
    <w:tmpl w:val="00000003"/>
    <w:lvl w:ilvl="0" w:tentative="0">
      <w:start w:val="1"/>
      <w:numFmt w:val="decimal"/>
      <w:suff w:val="space"/>
      <w:lvlText w:val="%1."/>
      <w:lvlJc w:val="left"/>
      <w:pPr>
        <w:ind w:left="36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52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24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396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468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40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120" w:hanging="360"/>
      </w:pPr>
      <w:rPr>
        <w:sz w:val="24"/>
        <w:szCs w:val="24"/>
      </w:rPr>
    </w:lvl>
  </w:abstractNum>
  <w:abstractNum w:abstractNumId="4">
    <w:nsid w:val="00000005"/>
    <w:multiLevelType w:val="singleLevel"/>
    <w:tmpl w:val="00000005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displayBackgroundShape w:val="1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725214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360" w:lineRule="atLeast"/>
    </w:pPr>
    <w:rPr>
      <w:rFonts w:ascii="Arial" w:hAnsi="Arial" w:eastAsia="微软雅黑" w:cs="宋体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numPr>
        <w:ilvl w:val="0"/>
        <w:numId w:val="1"/>
      </w:numPr>
      <w:spacing w:before="240" w:after="120" w:line="312" w:lineRule="auto"/>
      <w:outlineLvl w:val="0"/>
    </w:pPr>
    <w:rPr>
      <w:rFonts w:ascii="Arial" w:hAnsi="Arial" w:eastAsia="微软雅黑" w:cs="宋体"/>
      <w:b/>
      <w:bCs/>
      <w:sz w:val="32"/>
      <w:szCs w:val="32"/>
    </w:rPr>
  </w:style>
  <w:style w:type="paragraph" w:styleId="3">
    <w:name w:val="heading 2"/>
    <w:next w:val="1"/>
    <w:qFormat/>
    <w:uiPriority w:val="0"/>
    <w:pPr>
      <w:keepNext w:val="0"/>
      <w:keepLines w:val="0"/>
      <w:numPr>
        <w:ilvl w:val="1"/>
        <w:numId w:val="1"/>
      </w:numPr>
      <w:spacing w:before="180" w:after="80" w:line="312" w:lineRule="auto"/>
      <w:outlineLvl w:val="1"/>
    </w:pPr>
    <w:rPr>
      <w:rFonts w:ascii="Arial" w:hAnsi="Arial" w:eastAsia="微软雅黑" w:cs="宋体"/>
      <w:b/>
      <w:bCs/>
      <w:sz w:val="30"/>
      <w:szCs w:val="30"/>
    </w:rPr>
  </w:style>
  <w:style w:type="paragraph" w:styleId="4">
    <w:name w:val="heading 3"/>
    <w:next w:val="1"/>
    <w:qFormat/>
    <w:uiPriority w:val="0"/>
    <w:pPr>
      <w:keepNext w:val="0"/>
      <w:keepLines w:val="0"/>
      <w:numPr>
        <w:ilvl w:val="2"/>
        <w:numId w:val="1"/>
      </w:numPr>
      <w:spacing w:before="120" w:after="60" w:line="312" w:lineRule="auto"/>
      <w:outlineLvl w:val="2"/>
    </w:pPr>
    <w:rPr>
      <w:rFonts w:ascii="Arial" w:hAnsi="Arial" w:eastAsia="微软雅黑" w:cs="宋体"/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endnote text"/>
    <w:basedOn w:val="1"/>
    <w:link w:val="21"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footnote text"/>
    <w:basedOn w:val="1"/>
    <w:link w:val="20"/>
    <w:qFormat/>
    <w:uiPriority w:val="99"/>
    <w:pPr>
      <w:spacing w:after="0" w:line="240" w:lineRule="auto"/>
    </w:pPr>
    <w:rPr>
      <w:sz w:val="20"/>
      <w:szCs w:val="20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2">
    <w:name w:val="Title"/>
    <w:basedOn w:val="1"/>
    <w:next w:val="1"/>
    <w:qFormat/>
    <w:uiPriority w:val="0"/>
    <w:rPr>
      <w:sz w:val="56"/>
      <w:szCs w:val="56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ndnote reference"/>
    <w:qFormat/>
    <w:uiPriority w:val="99"/>
    <w:rPr>
      <w:vertAlign w:val="superscript"/>
    </w:rPr>
  </w:style>
  <w:style w:type="character" w:styleId="17">
    <w:name w:val="Hyperlink"/>
    <w:qFormat/>
    <w:uiPriority w:val="99"/>
    <w:rPr>
      <w:color w:val="0563C1"/>
      <w:u w:val="single"/>
    </w:rPr>
  </w:style>
  <w:style w:type="character" w:styleId="18">
    <w:name w:val="footnote reference"/>
    <w:qFormat/>
    <w:uiPriority w:val="99"/>
    <w:rPr>
      <w:vertAlign w:val="superscript"/>
    </w:rPr>
  </w:style>
  <w:style w:type="paragraph" w:styleId="19">
    <w:name w:val="List Paragraph"/>
    <w:basedOn w:val="1"/>
    <w:qFormat/>
    <w:uiPriority w:val="0"/>
  </w:style>
  <w:style w:type="character" w:customStyle="1" w:styleId="20">
    <w:name w:val="Footnote Text Char"/>
    <w:link w:val="10"/>
    <w:qFormat/>
    <w:uiPriority w:val="99"/>
    <w:rPr>
      <w:sz w:val="20"/>
      <w:szCs w:val="20"/>
    </w:rPr>
  </w:style>
  <w:style w:type="character" w:customStyle="1" w:styleId="21">
    <w:name w:val="Endnote Text Char"/>
    <w:link w:val="9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3797</Words>
  <Characters>3867</Characters>
  <Paragraphs>89</Paragraphs>
  <TotalTime>7</TotalTime>
  <ScaleCrop>false</ScaleCrop>
  <LinksUpToDate>false</LinksUpToDate>
  <CharactersWithSpaces>3909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2026-07-02T06:07:00Z</dcterms:created>
  <dc:creator>Un-named</dc:creator>
  <cp:lastModifiedBy>张娟</cp:lastModifiedBy>
  <dcterms:modified xsi:type="dcterms:W3CDTF">2026-08-14T07:06:04Z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eyJoZGlkIjoiNWY2YjI5NmM4NjcyZTgwOGJhOGNiODM4NTg0ZjVhNTAiLCJ1c2VySWQiOiIxNjE2NzM1NzA0In0=</vt:lpwstr>
  </property>
  <property fmtid="{D5CDD505-2E9C-101B-9397-08002B2CF9AE}" pid="3" name="KSOProductBuildVer">
    <vt:lpwstr>2052-12.1.0.23542</vt:lpwstr>
  </property>
  <property fmtid="{D5CDD505-2E9C-101B-9397-08002B2CF9AE}" pid="4" name="ICV">
    <vt:lpwstr>63b73cc2933b4179abdba5300509d6e0_23</vt:lpwstr>
  </property>
</Properties>
</file>