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C3" w:rsidRPr="00E84AC3" w:rsidRDefault="00E84AC3" w:rsidP="00E84AC3">
      <w:pPr>
        <w:spacing w:before="160" w:after="120" w:line="288" w:lineRule="auto"/>
        <w:ind w:firstLineChars="100" w:firstLine="723"/>
        <w:jc w:val="center"/>
        <w:outlineLvl w:val="1"/>
        <w:rPr>
          <w:rFonts w:ascii="黑体" w:eastAsia="黑体" w:hAnsi="黑体" w:hint="eastAsia"/>
          <w:b/>
          <w:sz w:val="72"/>
          <w:szCs w:val="72"/>
          <w:lang w:eastAsia="zh-CN"/>
        </w:rPr>
      </w:pPr>
      <w:bookmarkStart w:id="0" w:name="_Toc28279"/>
      <w:r w:rsidRPr="00E84AC3">
        <w:rPr>
          <w:rFonts w:ascii="黑体" w:eastAsia="黑体" w:hAnsi="黑体" w:hint="eastAsia"/>
          <w:b/>
          <w:sz w:val="72"/>
          <w:szCs w:val="72"/>
          <w:lang w:eastAsia="zh-CN"/>
        </w:rPr>
        <w:t>服务内容及要求</w:t>
      </w:r>
    </w:p>
    <w:p w:rsidR="00E84AC3" w:rsidRDefault="00E84AC3" w:rsidP="00E84AC3">
      <w:pPr>
        <w:spacing w:before="160" w:after="120" w:line="288" w:lineRule="auto"/>
        <w:ind w:firstLineChars="100" w:firstLine="301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一、</w:t>
      </w:r>
      <w:r>
        <w:rPr>
          <w:rFonts w:ascii="黑体" w:eastAsia="黑体" w:hAnsi="黑体" w:hint="eastAsia"/>
          <w:b/>
          <w:sz w:val="30"/>
          <w:szCs w:val="30"/>
          <w:lang w:eastAsia="zh-CN"/>
        </w:rPr>
        <w:t>机房设计遵循标准</w:t>
      </w:r>
      <w:bookmarkStart w:id="1" w:name="_GoBack"/>
      <w:bookmarkEnd w:id="0"/>
      <w:bookmarkEnd w:id="1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本项目设计须严格遵循国家及重庆市现行相关规范、标准，并充分结合采购人实际需求，确保设计成果科学规范、内容完整、落地可行，全面满足后续施工招标、现场施工、竣工验收、审计结算等全流程工作要求。若各类规范条款存在冲突，一律执行其中最严格标准，本项目适用标准及规范包含但不限于：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《数据中心设计规范》（</w:t>
      </w:r>
      <w:r>
        <w:rPr>
          <w:lang w:eastAsia="zh-CN"/>
        </w:rPr>
        <w:t>GB50174-2017</w:t>
      </w:r>
      <w:r>
        <w:rPr>
          <w:rFonts w:hint="eastAsia"/>
          <w:lang w:eastAsia="zh-CN"/>
        </w:rPr>
        <w:t>）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《数据中心（</w:t>
      </w:r>
      <w:r>
        <w:rPr>
          <w:lang w:eastAsia="zh-CN"/>
        </w:rPr>
        <w:t>智能化系统机房</w:t>
      </w:r>
      <w:r>
        <w:rPr>
          <w:rFonts w:hint="eastAsia"/>
          <w:lang w:eastAsia="zh-CN"/>
        </w:rPr>
        <w:t>）</w:t>
      </w:r>
      <w:r>
        <w:rPr>
          <w:lang w:eastAsia="zh-CN"/>
        </w:rPr>
        <w:t>工程设计与安装》</w:t>
      </w:r>
      <w:r>
        <w:rPr>
          <w:rFonts w:hint="eastAsia"/>
          <w:lang w:eastAsia="zh-CN"/>
        </w:rPr>
        <w:t>（</w:t>
      </w:r>
      <w:r>
        <w:rPr>
          <w:lang w:eastAsia="zh-CN"/>
        </w:rPr>
        <w:t>DJBT50-138</w:t>
      </w:r>
      <w:r>
        <w:rPr>
          <w:rFonts w:hint="eastAsia"/>
          <w:lang w:eastAsia="zh-CN"/>
        </w:rPr>
        <w:t>）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lang w:eastAsia="zh-CN"/>
        </w:rPr>
        <w:t>《信息安全技术 网络安全等级保护基本要求》（GB/T 22239-2019）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《建设工程工程量清单计价标准》(</w:t>
      </w:r>
      <w:r>
        <w:rPr>
          <w:lang w:eastAsia="zh-CN"/>
        </w:rPr>
        <w:t>GB/T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50500-2024</w:t>
      </w:r>
      <w:r>
        <w:rPr>
          <w:rFonts w:hint="eastAsia"/>
          <w:lang w:eastAsia="zh-CN"/>
        </w:rPr>
        <w:t>)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《重庆市建设工程工程量清单计价实施细则》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lang w:eastAsia="zh-CN"/>
        </w:rPr>
        <w:t>《2018年重庆市建设工程费用定额》（</w:t>
      </w:r>
      <w:proofErr w:type="gramStart"/>
      <w:r>
        <w:rPr>
          <w:lang w:eastAsia="zh-CN"/>
        </w:rPr>
        <w:t>渝建发</w:t>
      </w:r>
      <w:proofErr w:type="gramEnd"/>
      <w:r>
        <w:rPr>
          <w:lang w:eastAsia="zh-CN"/>
        </w:rPr>
        <w:t>〔2018〕29号）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《数据中心基础设施施工及验收标准》（GB 50462-2024）</w:t>
      </w:r>
    </w:p>
    <w:p w:rsidR="00E84AC3" w:rsidRDefault="00E84AC3" w:rsidP="00E84AC3">
      <w:pPr>
        <w:spacing w:before="160" w:after="120" w:line="288" w:lineRule="auto"/>
        <w:ind w:firstLineChars="100" w:firstLine="301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二、</w:t>
      </w:r>
      <w:r>
        <w:rPr>
          <w:rFonts w:ascii="黑体" w:eastAsia="黑体" w:hAnsi="黑体" w:hint="eastAsia"/>
          <w:b/>
          <w:sz w:val="30"/>
          <w:szCs w:val="30"/>
          <w:lang w:eastAsia="zh-CN"/>
        </w:rPr>
        <w:t>服务要求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全程提供现场勘测、方案优化、技术答疑、施工交底、现场指导服务。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设计中立要求：设计文件中不得限定特定品牌、供应商，不得设置带有排他、倾向性的技术参数。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业务保障设计要求：开展机房改造设计时，须充分保障医院现有数据中心机房，保证核心诊疗业务不间断运行，编制具备可落地性的分阶段施工实施方案，并配套完善风险防控、应急保障措施。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多专业协同设计：项目涵盖消防、建筑结构、强弱电、暖通、智能化等多专业内容，设计单位统筹各专业协同对接，杜绝图纸矛盾、管线走向冲突、设备点位布置冲突等</w:t>
      </w:r>
      <w:proofErr w:type="gramStart"/>
      <w:r>
        <w:rPr>
          <w:rFonts w:hint="eastAsia"/>
          <w:lang w:eastAsia="zh-CN"/>
        </w:rPr>
        <w:t>错漏碰缺问题</w:t>
      </w:r>
      <w:proofErr w:type="gramEnd"/>
      <w:r>
        <w:rPr>
          <w:rFonts w:hint="eastAsia"/>
          <w:lang w:eastAsia="zh-CN"/>
        </w:rPr>
        <w:t>。</w:t>
      </w:r>
    </w:p>
    <w:p w:rsidR="00E84AC3" w:rsidRDefault="00E84AC3" w:rsidP="00E84AC3">
      <w:pPr>
        <w:spacing w:before="160" w:after="120" w:line="288" w:lineRule="auto"/>
        <w:ind w:firstLineChars="100" w:firstLine="321"/>
        <w:outlineLvl w:val="0"/>
        <w:rPr>
          <w:rFonts w:ascii="黑体" w:eastAsia="黑体" w:hAnsi="黑体"/>
          <w:b/>
          <w:sz w:val="32"/>
          <w:szCs w:val="32"/>
          <w:lang w:eastAsia="zh-CN"/>
        </w:rPr>
      </w:pPr>
      <w:bookmarkStart w:id="2" w:name="_Toc20052"/>
      <w:r>
        <w:rPr>
          <w:rFonts w:ascii="黑体" w:eastAsia="黑体" w:hAnsi="黑体" w:hint="eastAsia"/>
          <w:b/>
          <w:sz w:val="32"/>
          <w:szCs w:val="32"/>
          <w:lang w:eastAsia="zh-CN"/>
        </w:rPr>
        <w:t>三、</w:t>
      </w:r>
      <w:r>
        <w:rPr>
          <w:rFonts w:ascii="黑体" w:eastAsia="黑体" w:hAnsi="黑体" w:hint="eastAsia"/>
          <w:b/>
          <w:sz w:val="32"/>
          <w:szCs w:val="32"/>
          <w:lang w:eastAsia="zh-CN"/>
        </w:rPr>
        <w:t>机房设计及服务内容</w:t>
      </w:r>
      <w:bookmarkEnd w:id="2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lastRenderedPageBreak/>
        <w:t>设计单位须严格遵循国家及重庆市相关规范标准，紧密结合采购人需求与现场实际工况，对机房扩建改造工程所涉各专业开展系统性、完整性设计工作，整体布局遵循B级机房冗余、容错设计原则，分区清晰、动线合理，严格区分设备区、配电区、消防区、运维区，实现安全分区管理，满足医疗数据中心隔离防护要求。设计范围包括但不限于以下内容：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3" w:name="_Toc28095"/>
      <w:r>
        <w:rPr>
          <w:rFonts w:ascii="黑体" w:eastAsia="黑体" w:hAnsi="黑体" w:hint="eastAsia"/>
          <w:b/>
          <w:sz w:val="30"/>
          <w:szCs w:val="30"/>
          <w:lang w:eastAsia="zh-CN"/>
        </w:rPr>
        <w:t>机房总体布局设计</w:t>
      </w:r>
      <w:bookmarkEnd w:id="3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设计单位需充分统筹机房 UPS、电池柜、服务器机柜、精密空调、配电柜等各类设备的荷载条件开展设计，设计工作包含但不限于：机房功能分区规划、平面布局设计、建筑改造工程、墙地顶及门窗等建筑构造设计、结构安全验算、必要结构加固施工设计、设备基座与楼面承重荷载复核；</w:t>
      </w:r>
      <w:proofErr w:type="gramStart"/>
      <w:r>
        <w:rPr>
          <w:rFonts w:hint="eastAsia"/>
          <w:lang w:eastAsia="zh-CN"/>
        </w:rPr>
        <w:t>若项目</w:t>
      </w:r>
      <w:proofErr w:type="gramEnd"/>
      <w:r>
        <w:rPr>
          <w:rFonts w:hint="eastAsia"/>
          <w:lang w:eastAsia="zh-CN"/>
        </w:rPr>
        <w:t>涉及钢结构工程，须同步完成全套钢结构专项设计，设计方案须与现有数据中心机房进行一体化融合设计。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4" w:name="_Toc7812"/>
      <w:r>
        <w:rPr>
          <w:rFonts w:ascii="黑体" w:eastAsia="黑体" w:hAnsi="黑体" w:hint="eastAsia"/>
          <w:b/>
          <w:sz w:val="30"/>
          <w:szCs w:val="30"/>
          <w:lang w:eastAsia="zh-CN"/>
        </w:rPr>
        <w:t>室内外装饰装修设计</w:t>
      </w:r>
      <w:bookmarkEnd w:id="4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机房防火、防尘、防潮、防鼠、防水专项设计均须满足现行国家规范标准，设计范围包含但不限于：机房整体室内装修、防静电架空地板系统；墙面、吊顶、隔断、门窗装饰工程；全域防火、防尘、防潮、防鼠、防水构造处理；机房缓冲区、设备主机区、配电区、UPS 蓄电池区、运</w:t>
      </w:r>
      <w:proofErr w:type="gramStart"/>
      <w:r>
        <w:rPr>
          <w:rFonts w:hint="eastAsia"/>
          <w:lang w:eastAsia="zh-CN"/>
        </w:rPr>
        <w:t>维操作区</w:t>
      </w:r>
      <w:proofErr w:type="gramEnd"/>
      <w:r>
        <w:rPr>
          <w:rFonts w:hint="eastAsia"/>
          <w:lang w:eastAsia="zh-CN"/>
        </w:rPr>
        <w:t>各功能分区专项装修；室外改造区域装饰及</w:t>
      </w:r>
      <w:proofErr w:type="gramStart"/>
      <w:r>
        <w:rPr>
          <w:rFonts w:hint="eastAsia"/>
          <w:lang w:eastAsia="zh-CN"/>
        </w:rPr>
        <w:t>收口收</w:t>
      </w:r>
      <w:proofErr w:type="gramEnd"/>
      <w:r>
        <w:rPr>
          <w:rFonts w:hint="eastAsia"/>
          <w:lang w:eastAsia="zh-CN"/>
        </w:rPr>
        <w:t>边处理。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5" w:name="_Toc15768"/>
      <w:r>
        <w:rPr>
          <w:rFonts w:ascii="黑体" w:eastAsia="黑体" w:hAnsi="黑体" w:hint="eastAsia"/>
          <w:b/>
          <w:sz w:val="30"/>
          <w:szCs w:val="30"/>
          <w:lang w:eastAsia="zh-CN"/>
        </w:rPr>
        <w:t>温湿度及暖通空调设计</w:t>
      </w:r>
      <w:bookmarkEnd w:id="5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机房温湿度控制设计需保障信息设备长期连续稳定运行，设计范围包含但不限于：机房精密空调系统配置、制冷负荷核算、气流组织规划、冷热通道布局、空调室内外机安装方案、冷凝水排水系统、机械排风与新风通风系统、温湿度智能调控方案、空调系统冗余配置设计、空调设备运行状态监测</w:t>
      </w:r>
      <w:proofErr w:type="gramStart"/>
      <w:r>
        <w:rPr>
          <w:rFonts w:hint="eastAsia"/>
          <w:lang w:eastAsia="zh-CN"/>
        </w:rPr>
        <w:t>及动环</w:t>
      </w:r>
      <w:proofErr w:type="gramEnd"/>
      <w:r>
        <w:rPr>
          <w:rFonts w:hint="eastAsia"/>
          <w:lang w:eastAsia="zh-CN"/>
        </w:rPr>
        <w:t>监控系统对接。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6" w:name="_Toc28902"/>
      <w:r>
        <w:rPr>
          <w:rFonts w:ascii="黑体" w:eastAsia="黑体" w:hAnsi="黑体" w:hint="eastAsia"/>
          <w:b/>
          <w:sz w:val="30"/>
          <w:szCs w:val="30"/>
          <w:lang w:eastAsia="zh-CN"/>
        </w:rPr>
        <w:t>消防设计</w:t>
      </w:r>
      <w:bookmarkEnd w:id="6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proofErr w:type="gramStart"/>
      <w:r>
        <w:rPr>
          <w:rFonts w:hint="eastAsia"/>
          <w:lang w:eastAsia="zh-CN"/>
        </w:rPr>
        <w:lastRenderedPageBreak/>
        <w:t>机房消防</w:t>
      </w:r>
      <w:proofErr w:type="gramEnd"/>
      <w:r>
        <w:rPr>
          <w:rFonts w:hint="eastAsia"/>
          <w:lang w:eastAsia="zh-CN"/>
        </w:rPr>
        <w:t>设计须严格执行国家及重庆市现行消防相关规范标准，结合机房设备运行特性，按照机房对应等级配套设置适配消防设施，设计范围包含但不限于：火灾自动报警系统、气体灭火系统新建及改造设计、消防联动控制系统；烟感探测器、温感探测器、声光报警器、紧急启停按钮、放气指示灯等消防配套装置布设；防护区划分、泄压装置设计；应急照明与疏散指示系统；与院内现有消防系统对接联动；同步提供消防报审、验收全过程配合服务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7" w:name="_Toc30539"/>
      <w:r>
        <w:rPr>
          <w:rFonts w:ascii="黑体" w:eastAsia="黑体" w:hAnsi="黑体" w:hint="eastAsia"/>
          <w:b/>
          <w:sz w:val="30"/>
          <w:szCs w:val="30"/>
          <w:lang w:eastAsia="zh-CN"/>
        </w:rPr>
        <w:t>强电及供配电设计</w:t>
      </w:r>
      <w:bookmarkEnd w:id="7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设计单位须结合现场既有设备负荷、新增设备负荷及远期扩容需求完成供电容量专项测算，并完整提供全套计算依据资料。设计范围包含但不限于：市电引入与整体配电系统、UPS 不间断供电系统、蓄电池配套系统；配电柜、列头柜、PDU 等各级配电设备；常规照明、应急照明、检修插座及辅助动力回路；空调专用供电回路；各类 IT 设备用电负荷核算；电缆线缆规格选型与敷设路由规划；电力监控、节能管控系统；双路供电、冗余备用及应急供电架构方案。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8" w:name="_Toc19813"/>
      <w:r>
        <w:rPr>
          <w:rFonts w:ascii="黑体" w:eastAsia="黑体" w:hAnsi="黑体" w:hint="eastAsia"/>
          <w:b/>
          <w:sz w:val="30"/>
          <w:szCs w:val="30"/>
          <w:lang w:eastAsia="zh-CN"/>
        </w:rPr>
        <w:t>弱电与智能化设计</w:t>
      </w:r>
      <w:bookmarkEnd w:id="8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弱电与智能化设计范围包含但不限于：综合布线系统整体设计；光纤、网络线缆、配线架、桥架选型及线缆敷设路径规划；网络机柜及配套设备布局设计；动力环境监控系统、视频监控系统、门禁管理系统、入侵报警及安全防范系统建设；智能照明及集中控制系统设计；全域标识标牌、线缆标签标准化布设设计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9" w:name="_Toc28842"/>
      <w:r>
        <w:rPr>
          <w:rFonts w:ascii="黑体" w:eastAsia="黑体" w:hAnsi="黑体" w:hint="eastAsia"/>
          <w:b/>
          <w:sz w:val="30"/>
          <w:szCs w:val="30"/>
          <w:lang w:eastAsia="zh-CN"/>
        </w:rPr>
        <w:t>给排水及告警设计</w:t>
      </w:r>
      <w:bookmarkEnd w:id="9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本部</w:t>
      </w:r>
      <w:proofErr w:type="gramStart"/>
      <w:r>
        <w:rPr>
          <w:rFonts w:hint="eastAsia"/>
          <w:lang w:eastAsia="zh-CN"/>
        </w:rPr>
        <w:t>分设计</w:t>
      </w:r>
      <w:proofErr w:type="gramEnd"/>
      <w:r>
        <w:rPr>
          <w:rFonts w:hint="eastAsia"/>
          <w:lang w:eastAsia="zh-CN"/>
        </w:rPr>
        <w:t>范围包括但不限于：机房空调冷凝水排放系统设计；给排水管线避让优化及专项防护处理；全域漏水检测系统布设；排水异常状态监测与告警机制设计；机房防水、防渗、防倒灌专项措施；所有穿墙、穿楼板管线的防火防水密封封堵设计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0" w:name="_Toc12753"/>
      <w:r>
        <w:rPr>
          <w:rFonts w:ascii="黑体" w:eastAsia="黑体" w:hAnsi="黑体" w:hint="eastAsia"/>
          <w:b/>
          <w:sz w:val="30"/>
          <w:szCs w:val="30"/>
          <w:lang w:eastAsia="zh-CN"/>
        </w:rPr>
        <w:t>防雷接地设计</w:t>
      </w:r>
      <w:bookmarkEnd w:id="10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本项目接地系统需与建筑原有接地系统可靠、合理衔接。针对项目区域存在的防电磁干扰及各类辐射防护要求，设计单位应结合现场实际工况，完成专项防</w:t>
      </w:r>
      <w:r>
        <w:rPr>
          <w:rFonts w:hint="eastAsia"/>
          <w:lang w:eastAsia="zh-CN"/>
        </w:rPr>
        <w:lastRenderedPageBreak/>
        <w:t>护设计或出具专项设计建议。设计范围包含但不限于：机房防雷系统设计、保护接地、防静电接地、等电位联结、浪涌保护系统配置；接地电阻检测标准及验收要求制定；防电磁干扰及特殊防护专项设计。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1" w:name="_Toc23143"/>
      <w:r>
        <w:rPr>
          <w:rFonts w:ascii="黑体" w:eastAsia="黑体" w:hAnsi="黑体" w:hint="eastAsia"/>
          <w:b/>
          <w:sz w:val="30"/>
          <w:szCs w:val="30"/>
          <w:lang w:eastAsia="zh-CN"/>
        </w:rPr>
        <w:t>节能设计</w:t>
      </w:r>
      <w:bookmarkEnd w:id="11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整体方案遵循节能化总体设计思路，保障数据中心绿色低碳长效运行，全面提升各类资源综合利用效率；可对数据中心总能耗、区域能耗、机柜能耗、空调系统能耗开展精细化计量与管控，要求机房全年平均 PUE 值不高于 1.4。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2" w:name="_Toc5552"/>
      <w:r>
        <w:rPr>
          <w:rFonts w:ascii="黑体" w:eastAsia="黑体" w:hAnsi="黑体" w:hint="eastAsia"/>
          <w:b/>
          <w:sz w:val="30"/>
          <w:szCs w:val="30"/>
          <w:lang w:eastAsia="zh-CN"/>
        </w:rPr>
        <w:t>融合与扩容设计</w:t>
      </w:r>
      <w:bookmarkEnd w:id="12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整体设计方案需结合现有数据中心机房现状布局实施模块化、智能化架构设计，匹配医院信息化系统迭代演进节奏；充分预判未来十年业务扩容需求，机柜、供配电、综合布线、精密空调、UPS 不间断电源等核心系统均预留不低于 20% 冗余余量，可支撑后期设备分批扩容升级，规避大范围机房改造施工。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3" w:name="_Toc6437"/>
      <w:r>
        <w:rPr>
          <w:rFonts w:ascii="黑体" w:eastAsia="黑体" w:hAnsi="黑体" w:hint="eastAsia"/>
          <w:b/>
          <w:sz w:val="30"/>
          <w:szCs w:val="30"/>
          <w:lang w:eastAsia="zh-CN"/>
        </w:rPr>
        <w:t>概算、预算及造价服务</w:t>
      </w:r>
      <w:bookmarkEnd w:id="13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依据审定施工图纸及现行相关规范标准，结合项目所在地建材、人工、施工机械等市场价格行情，遵循项目分项划分、工程量计量、单价组价、综合单价测算、造价汇总的标准化流程编制工程概算，保障概算完整、精准覆盖全部设计内容，贴合项目属地现行市场价格水平。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具体服务范围包含但不限于：依据施工图纸编制施工图预算；配合采购人及采购人委托的预算审核单位开展工程量清单核对、综合单价</w:t>
      </w:r>
      <w:proofErr w:type="gramStart"/>
      <w:r>
        <w:rPr>
          <w:rFonts w:hint="eastAsia"/>
          <w:lang w:eastAsia="zh-CN"/>
        </w:rPr>
        <w:t>组价校核</w:t>
      </w:r>
      <w:proofErr w:type="gramEnd"/>
      <w:r>
        <w:rPr>
          <w:rFonts w:hint="eastAsia"/>
          <w:lang w:eastAsia="zh-CN"/>
        </w:rPr>
        <w:t>工作；依据审核意见修订、完善预算成果；出具全套完整预算资料。预算成果需涵盖工程量明细、综合单价、主材及设备价格、各项取费依据、编制说明等配套资料。设计单位须全程配合预算评审、财政评审、采购控制价编制等相关配套工作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4" w:name="_Toc12676"/>
      <w:r>
        <w:rPr>
          <w:rFonts w:ascii="黑体" w:eastAsia="黑体" w:hAnsi="黑体" w:hint="eastAsia"/>
          <w:b/>
          <w:sz w:val="30"/>
          <w:szCs w:val="30"/>
          <w:lang w:eastAsia="zh-CN"/>
        </w:rPr>
        <w:t>施工图三方审查服务</w:t>
      </w:r>
      <w:bookmarkEnd w:id="14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设计单位须配合采购人开展施工图审查相关工作，具体包含但不限于：按审查机构要求报送施工图及配套资料；及时书面答复施工图审查意见；依据审查意见优化、修改图纸；报送经审查合格的最终版图纸。</w:t>
      </w:r>
      <w:proofErr w:type="gramStart"/>
      <w:r>
        <w:rPr>
          <w:rFonts w:hint="eastAsia"/>
          <w:lang w:eastAsia="zh-CN"/>
        </w:rPr>
        <w:t>若项目</w:t>
      </w:r>
      <w:proofErr w:type="gramEnd"/>
      <w:r>
        <w:rPr>
          <w:rFonts w:hint="eastAsia"/>
          <w:lang w:eastAsia="zh-CN"/>
        </w:rPr>
        <w:t>涉及消防、节能、结</w:t>
      </w:r>
      <w:r>
        <w:rPr>
          <w:rFonts w:hint="eastAsia"/>
          <w:lang w:eastAsia="zh-CN"/>
        </w:rPr>
        <w:lastRenderedPageBreak/>
        <w:t>构、智能化等专项审查，设计单位同步配合完成各项专项审查工作。因设计自身疏漏、缺陷造成图纸多次整改的，设计单位须无条件配合完成图纸优化完善工作。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5" w:name="_Toc30751"/>
      <w:r>
        <w:rPr>
          <w:rFonts w:ascii="黑体" w:eastAsia="黑体" w:hAnsi="黑体" w:hint="eastAsia"/>
          <w:b/>
          <w:sz w:val="30"/>
          <w:szCs w:val="30"/>
          <w:lang w:eastAsia="zh-CN"/>
        </w:rPr>
        <w:t>施工阶段服务</w:t>
      </w:r>
      <w:bookmarkEnd w:id="15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须提供施工阶段全过程现场设计配合服务，服务内容包括但不限于：组织开展施工图设计交底并参会；及时响应采购人、监理单位、施工单位提出的各类图纸技术问题；按期出具设计洽商、技术核定单及设计变更文件；按采购人</w:t>
      </w:r>
      <w:proofErr w:type="gramStart"/>
      <w:r>
        <w:rPr>
          <w:rFonts w:hint="eastAsia"/>
          <w:lang w:eastAsia="zh-CN"/>
        </w:rPr>
        <w:t>需求赴</w:t>
      </w:r>
      <w:proofErr w:type="gramEnd"/>
      <w:r>
        <w:rPr>
          <w:rFonts w:hint="eastAsia"/>
          <w:lang w:eastAsia="zh-CN"/>
        </w:rPr>
        <w:t>现场驻场技术服务；协调处置施工全过程图纸矛盾与技术问题；参与工程关键工序验收及竣工验收；配合采购人开展工程变更技术论证；协助采购人完成竣工图审核；提供施工全过程其他配套设计技术服务。</w:t>
      </w:r>
    </w:p>
    <w:p w:rsidR="00E84AC3" w:rsidRDefault="00E84AC3" w:rsidP="00E84AC3">
      <w:pPr>
        <w:numPr>
          <w:ilvl w:val="0"/>
          <w:numId w:val="3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6" w:name="_Toc19797"/>
      <w:r>
        <w:rPr>
          <w:rFonts w:ascii="黑体" w:eastAsia="黑体" w:hAnsi="黑体" w:hint="eastAsia"/>
          <w:b/>
          <w:sz w:val="30"/>
          <w:szCs w:val="30"/>
          <w:lang w:eastAsia="zh-CN"/>
        </w:rPr>
        <w:t>结算及审计服务</w:t>
      </w:r>
      <w:bookmarkEnd w:id="16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须配合采购人开展项目结算及全过程审计相关工作，服务内容包含但不限于：协助整理完善结算配套资料；针对施工图纸、设计变更、技术核定单、工程量偏差等内容提供专业解释答疑；配合审计单位完成各类设计相关事项核查；按审计工作要求提供设计依据、计算底稿、图纸说明及其他佐证资料；若因设计表述模糊、图纸存在冲突、工程量缺漏项等设计自身问题产生争议，须及时出具专业说明并全力配合整改处置。</w:t>
      </w:r>
    </w:p>
    <w:p w:rsidR="00E84AC3" w:rsidRDefault="00E84AC3" w:rsidP="00E84AC3">
      <w:pPr>
        <w:spacing w:after="80" w:line="300" w:lineRule="auto"/>
        <w:ind w:firstLine="420"/>
        <w:rPr>
          <w:lang w:eastAsia="zh-CN"/>
        </w:rPr>
      </w:pPr>
    </w:p>
    <w:p w:rsidR="00E84AC3" w:rsidRDefault="00E84AC3" w:rsidP="00E84AC3">
      <w:pPr>
        <w:spacing w:before="160" w:after="120" w:line="288" w:lineRule="auto"/>
        <w:ind w:firstLineChars="100" w:firstLine="321"/>
        <w:outlineLvl w:val="0"/>
        <w:rPr>
          <w:rFonts w:ascii="黑体" w:eastAsia="黑体" w:hAnsi="黑体"/>
          <w:b/>
          <w:sz w:val="32"/>
          <w:szCs w:val="32"/>
          <w:lang w:eastAsia="zh-CN"/>
        </w:rPr>
      </w:pPr>
      <w:bookmarkStart w:id="17" w:name="_Toc2574"/>
      <w:r>
        <w:rPr>
          <w:rFonts w:ascii="黑体" w:eastAsia="黑体" w:hAnsi="黑体" w:hint="eastAsia"/>
          <w:b/>
          <w:sz w:val="32"/>
          <w:szCs w:val="32"/>
          <w:lang w:eastAsia="zh-CN"/>
        </w:rPr>
        <w:t>四、设计成果交付</w:t>
      </w:r>
      <w:bookmarkEnd w:id="17"/>
      <w:r>
        <w:rPr>
          <w:rFonts w:ascii="黑体" w:eastAsia="黑体" w:hAnsi="黑体" w:hint="eastAsia"/>
          <w:b/>
          <w:sz w:val="32"/>
          <w:szCs w:val="32"/>
          <w:lang w:eastAsia="zh-CN"/>
        </w:rPr>
        <w:t>内容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设计单位须严格遵照采购人最终审定的设计方案，以及国家、行业现行规范、标准及相关规定，保质保量提交合</w:t>
      </w:r>
      <w:proofErr w:type="gramStart"/>
      <w:r>
        <w:rPr>
          <w:rFonts w:hint="eastAsia"/>
          <w:lang w:eastAsia="zh-CN"/>
        </w:rPr>
        <w:t>规</w:t>
      </w:r>
      <w:proofErr w:type="gramEnd"/>
      <w:r>
        <w:rPr>
          <w:rFonts w:hint="eastAsia"/>
          <w:lang w:eastAsia="zh-CN"/>
        </w:rPr>
        <w:t>、完整、合格的全套设计成果，设计成果包含但不限于：</w:t>
      </w:r>
    </w:p>
    <w:p w:rsidR="00E84AC3" w:rsidRDefault="00E84AC3" w:rsidP="00E84AC3">
      <w:pPr>
        <w:numPr>
          <w:ilvl w:val="0"/>
          <w:numId w:val="4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8" w:name="_Toc14469"/>
      <w:r>
        <w:rPr>
          <w:rFonts w:ascii="黑体" w:eastAsia="黑体" w:hAnsi="黑体" w:hint="eastAsia"/>
          <w:b/>
          <w:sz w:val="30"/>
          <w:szCs w:val="30"/>
          <w:lang w:eastAsia="zh-CN"/>
        </w:rPr>
        <w:t>初步方案</w:t>
      </w:r>
      <w:bookmarkEnd w:id="18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须严格依据采购人最终确认的设计方案及国家、行业相关规范要求，提交符合标准的完整设计成果。成果内容包括但不限于：现状勘察报告、项目需求分析报告、总体改造方案（提供不少于两套方案进行对比择优）、平面布局方</w:t>
      </w:r>
      <w:r>
        <w:rPr>
          <w:rFonts w:hint="eastAsia"/>
          <w:lang w:eastAsia="zh-CN"/>
        </w:rPr>
        <w:lastRenderedPageBreak/>
        <w:t>案、功能分区方案、机房等级达标分析、项目投资估算、实施风险分析、改造期间业务连续性保障建议等全套设计资料。</w:t>
      </w:r>
    </w:p>
    <w:p w:rsidR="00E84AC3" w:rsidRDefault="00E84AC3" w:rsidP="00E84AC3">
      <w:pPr>
        <w:numPr>
          <w:ilvl w:val="0"/>
          <w:numId w:val="4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19" w:name="_Toc29232"/>
      <w:r>
        <w:rPr>
          <w:rFonts w:ascii="黑体" w:eastAsia="黑体" w:hAnsi="黑体" w:hint="eastAsia"/>
          <w:b/>
          <w:sz w:val="30"/>
          <w:szCs w:val="30"/>
          <w:lang w:eastAsia="zh-CN"/>
        </w:rPr>
        <w:t>初步设计</w:t>
      </w:r>
      <w:bookmarkEnd w:id="19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成果内容包括但不限于：机房总体布局设计、室内外装饰装修初步设计、温湿度及暖通空调初步设计、消防初步设计、强电及供配电系统初步设计、弱电及智能化系统初步设计、给排水及告警系统初步设计、防雷接地初步设计、节能设计、融合与扩容设计、</w:t>
      </w:r>
      <w:proofErr w:type="gramStart"/>
      <w:r>
        <w:rPr>
          <w:rFonts w:hint="eastAsia"/>
          <w:lang w:eastAsia="zh-CN"/>
        </w:rPr>
        <w:t>动环监控</w:t>
      </w:r>
      <w:proofErr w:type="gramEnd"/>
      <w:r>
        <w:rPr>
          <w:rFonts w:hint="eastAsia"/>
          <w:lang w:eastAsia="zh-CN"/>
        </w:rPr>
        <w:t>初步设计、主要设备材料清单、初步设计说明书、工程概算文件等全套初步设计成果资料。</w:t>
      </w:r>
    </w:p>
    <w:p w:rsidR="00E84AC3" w:rsidRDefault="00E84AC3" w:rsidP="00E84AC3">
      <w:pPr>
        <w:numPr>
          <w:ilvl w:val="0"/>
          <w:numId w:val="4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20" w:name="_Toc23855"/>
      <w:r>
        <w:rPr>
          <w:rFonts w:ascii="黑体" w:eastAsia="黑体" w:hAnsi="黑体" w:hint="eastAsia"/>
          <w:b/>
          <w:sz w:val="30"/>
          <w:szCs w:val="30"/>
          <w:lang w:eastAsia="zh-CN"/>
        </w:rPr>
        <w:t>施工图设计</w:t>
      </w:r>
      <w:bookmarkEnd w:id="20"/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施工图设计成果须满足施工图审查、施工招标、现场实施及工程竣工验收等全流程工作要求，设计内容完整、深度合</w:t>
      </w:r>
      <w:proofErr w:type="gramStart"/>
      <w:r>
        <w:rPr>
          <w:rFonts w:hint="eastAsia"/>
          <w:lang w:eastAsia="zh-CN"/>
        </w:rPr>
        <w:t>规</w:t>
      </w:r>
      <w:proofErr w:type="gramEnd"/>
      <w:r>
        <w:rPr>
          <w:rFonts w:hint="eastAsia"/>
          <w:lang w:eastAsia="zh-CN"/>
        </w:rPr>
        <w:t>，至少包含以下内容：设计总说明；建筑平面图；室内外装饰装修施工图；结构加固施工图、钢结构施工图；强电系统图及平面布置图；UPS及配套配电系统图；弱电及综合布线系统图；</w:t>
      </w:r>
      <w:proofErr w:type="gramStart"/>
      <w:r>
        <w:rPr>
          <w:rFonts w:hint="eastAsia"/>
          <w:lang w:eastAsia="zh-CN"/>
        </w:rPr>
        <w:t>动环监控系统</w:t>
      </w:r>
      <w:proofErr w:type="gramEnd"/>
      <w:r>
        <w:rPr>
          <w:rFonts w:hint="eastAsia"/>
          <w:lang w:eastAsia="zh-CN"/>
        </w:rPr>
        <w:t>图及点位布置图；暖通空调系统图及平面布置图；消防系统图及平面布置图；给排水及漏水检测施工图；防雷接地施工图；防电磁干扰系统图及平面布置图；节能设计施工图、机柜布置图、冷热通道布置图；桥架及管线综合路由图。</w:t>
      </w:r>
    </w:p>
    <w:p w:rsidR="00E84AC3" w:rsidRDefault="00E84AC3" w:rsidP="00E84AC3">
      <w:pPr>
        <w:numPr>
          <w:ilvl w:val="0"/>
          <w:numId w:val="4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概算、预算书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提供详细工程量清单、设备参数清单、设计概算书、主要设备材料表；同步完成工程量清单配套资料编制及全套施工图预算文件。</w:t>
      </w:r>
    </w:p>
    <w:p w:rsidR="00E84AC3" w:rsidRDefault="00E84AC3" w:rsidP="00E84AC3">
      <w:pPr>
        <w:numPr>
          <w:ilvl w:val="0"/>
          <w:numId w:val="4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B级机房合</w:t>
      </w:r>
      <w:proofErr w:type="gramStart"/>
      <w:r>
        <w:rPr>
          <w:rFonts w:ascii="黑体" w:eastAsia="黑体" w:hAnsi="黑体" w:hint="eastAsia"/>
          <w:b/>
          <w:sz w:val="30"/>
          <w:szCs w:val="30"/>
          <w:lang w:eastAsia="zh-CN"/>
        </w:rPr>
        <w:t>规</w:t>
      </w:r>
      <w:proofErr w:type="gramEnd"/>
      <w:r>
        <w:rPr>
          <w:rFonts w:ascii="黑体" w:eastAsia="黑体" w:hAnsi="黑体" w:hint="eastAsia"/>
          <w:b/>
          <w:sz w:val="30"/>
          <w:szCs w:val="30"/>
          <w:lang w:eastAsia="zh-CN"/>
        </w:rPr>
        <w:t>性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提供机房达B级标准合</w:t>
      </w:r>
      <w:proofErr w:type="gramStart"/>
      <w:r>
        <w:rPr>
          <w:rFonts w:hint="eastAsia"/>
          <w:lang w:eastAsia="zh-CN"/>
        </w:rPr>
        <w:t>规</w:t>
      </w:r>
      <w:proofErr w:type="gramEnd"/>
      <w:r>
        <w:rPr>
          <w:rFonts w:hint="eastAsia"/>
          <w:lang w:eastAsia="zh-CN"/>
        </w:rPr>
        <w:t>性报告。</w:t>
      </w:r>
    </w:p>
    <w:p w:rsidR="00E84AC3" w:rsidRDefault="00E84AC3" w:rsidP="00E84AC3">
      <w:pPr>
        <w:numPr>
          <w:ilvl w:val="0"/>
          <w:numId w:val="4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bookmarkStart w:id="21" w:name="_Toc24226"/>
      <w:r>
        <w:rPr>
          <w:rFonts w:ascii="黑体" w:eastAsia="黑体" w:hAnsi="黑体" w:hint="eastAsia"/>
          <w:b/>
          <w:sz w:val="30"/>
          <w:szCs w:val="30"/>
          <w:lang w:eastAsia="zh-CN"/>
        </w:rPr>
        <w:t>成果提交形式</w:t>
      </w:r>
      <w:bookmarkEnd w:id="21"/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设计单位需提交足额合</w:t>
      </w:r>
      <w:proofErr w:type="gramStart"/>
      <w:r>
        <w:rPr>
          <w:rFonts w:hint="eastAsia"/>
          <w:lang w:eastAsia="zh-CN"/>
        </w:rPr>
        <w:t>规</w:t>
      </w:r>
      <w:proofErr w:type="gramEnd"/>
      <w:r>
        <w:rPr>
          <w:rFonts w:hint="eastAsia"/>
          <w:lang w:eastAsia="zh-CN"/>
        </w:rPr>
        <w:t>的设计及预算成果资料，其中：施工图纸纸质版不少于8套、施工图电子资料（光盘或U盘）不少于1份；工程预算成果文件纸质版不少于8套、电子版资料不少于1份。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lastRenderedPageBreak/>
        <w:t>预算成果电子版需包含Excel格式、通用计价软件格式及PDF格式，所有格式标准均以采购</w:t>
      </w:r>
      <w:proofErr w:type="gramStart"/>
      <w:r>
        <w:rPr>
          <w:rFonts w:hint="eastAsia"/>
          <w:lang w:eastAsia="zh-CN"/>
        </w:rPr>
        <w:t>人最新</w:t>
      </w:r>
      <w:proofErr w:type="gramEnd"/>
      <w:r>
        <w:rPr>
          <w:rFonts w:hint="eastAsia"/>
          <w:lang w:eastAsia="zh-CN"/>
        </w:rPr>
        <w:t>要求为准。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全部电子文件均需同时提供可编辑原版格式及PDF固化格式；施工图纸电子文件须提供标准CAD可编辑格式。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所有纸质版文档资料，均需配套提供对应的可编辑格式及PDF格式电子版文件，确保成果资料完整、可溯源、可复用。</w:t>
      </w:r>
    </w:p>
    <w:p w:rsidR="00E84AC3" w:rsidRDefault="00E84AC3" w:rsidP="00E84AC3">
      <w:pPr>
        <w:spacing w:before="160" w:after="120" w:line="288" w:lineRule="auto"/>
        <w:ind w:firstLineChars="100" w:firstLine="321"/>
        <w:outlineLvl w:val="0"/>
        <w:rPr>
          <w:rFonts w:ascii="黑体" w:eastAsia="黑体" w:hAnsi="黑体"/>
          <w:b/>
          <w:sz w:val="30"/>
          <w:szCs w:val="30"/>
          <w:lang w:eastAsia="zh-CN"/>
        </w:rPr>
      </w:pPr>
      <w:bookmarkStart w:id="22" w:name="_Toc13224"/>
      <w:r>
        <w:rPr>
          <w:rFonts w:ascii="黑体" w:eastAsia="黑体" w:hAnsi="黑体" w:hint="eastAsia"/>
          <w:b/>
          <w:sz w:val="32"/>
          <w:szCs w:val="32"/>
          <w:lang w:eastAsia="zh-CN"/>
        </w:rPr>
        <w:t>五、验收标准</w:t>
      </w:r>
      <w:bookmarkEnd w:id="22"/>
    </w:p>
    <w:p w:rsidR="00E84AC3" w:rsidRDefault="00E84AC3" w:rsidP="00E84AC3">
      <w:pPr>
        <w:numPr>
          <w:ilvl w:val="0"/>
          <w:numId w:val="5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成果完整性验收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核查初步方案设计、初步设计、施工图设计、概预算书等各阶段设计成果是否齐全、合</w:t>
      </w:r>
      <w:proofErr w:type="gramStart"/>
      <w:r>
        <w:rPr>
          <w:rFonts w:hint="eastAsia"/>
          <w:lang w:eastAsia="zh-CN"/>
        </w:rPr>
        <w:t>规</w:t>
      </w:r>
      <w:proofErr w:type="gramEnd"/>
      <w:r>
        <w:rPr>
          <w:rFonts w:hint="eastAsia"/>
          <w:lang w:eastAsia="zh-CN"/>
        </w:rPr>
        <w:t>，是否覆盖招标文件要求的全部专业与服务内容，无缺项、漏项。</w:t>
      </w:r>
    </w:p>
    <w:p w:rsidR="00E84AC3" w:rsidRDefault="00E84AC3" w:rsidP="00E84AC3">
      <w:pPr>
        <w:numPr>
          <w:ilvl w:val="0"/>
          <w:numId w:val="5"/>
        </w:numPr>
        <w:spacing w:before="160" w:after="120" w:line="288" w:lineRule="auto"/>
        <w:outlineLvl w:val="1"/>
        <w:rPr>
          <w:rFonts w:ascii="黑体" w:eastAsia="黑体" w:hAnsi="黑体"/>
          <w:b/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机房B级标准验收</w:t>
      </w:r>
    </w:p>
    <w:p w:rsidR="00E84AC3" w:rsidRDefault="00E84AC3" w:rsidP="00E84AC3">
      <w:pPr>
        <w:spacing w:after="0" w:line="360" w:lineRule="auto"/>
        <w:ind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提供机房达B级标准合</w:t>
      </w:r>
      <w:proofErr w:type="gramStart"/>
      <w:r>
        <w:rPr>
          <w:rFonts w:hint="eastAsia"/>
          <w:lang w:eastAsia="zh-CN"/>
        </w:rPr>
        <w:t>规</w:t>
      </w:r>
      <w:proofErr w:type="gramEnd"/>
      <w:r>
        <w:rPr>
          <w:rFonts w:hint="eastAsia"/>
          <w:lang w:eastAsia="zh-CN"/>
        </w:rPr>
        <w:t>性报告。</w:t>
      </w:r>
    </w:p>
    <w:p w:rsidR="00E84AC3" w:rsidRDefault="00E84AC3" w:rsidP="00E84AC3">
      <w:pPr>
        <w:spacing w:before="160" w:after="120" w:line="288" w:lineRule="auto"/>
        <w:ind w:firstLineChars="100" w:firstLine="321"/>
        <w:outlineLvl w:val="0"/>
        <w:rPr>
          <w:rFonts w:ascii="黑体" w:eastAsia="黑体" w:hAnsi="黑体"/>
          <w:b/>
          <w:sz w:val="32"/>
          <w:szCs w:val="32"/>
          <w:lang w:eastAsia="zh-CN"/>
        </w:rPr>
      </w:pPr>
      <w:bookmarkStart w:id="23" w:name="_Toc16088"/>
      <w:r>
        <w:rPr>
          <w:rFonts w:ascii="黑体" w:eastAsia="黑体" w:hAnsi="黑体" w:hint="eastAsia"/>
          <w:b/>
          <w:sz w:val="32"/>
          <w:szCs w:val="32"/>
          <w:lang w:eastAsia="zh-CN"/>
        </w:rPr>
        <w:t>六、服务</w:t>
      </w:r>
      <w:bookmarkEnd w:id="23"/>
      <w:r>
        <w:rPr>
          <w:rFonts w:ascii="黑体" w:eastAsia="黑体" w:hAnsi="黑体" w:hint="eastAsia"/>
          <w:b/>
          <w:sz w:val="32"/>
          <w:szCs w:val="32"/>
          <w:lang w:eastAsia="zh-CN"/>
        </w:rPr>
        <w:t>工期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合同签署生效后7个工作日内，乙方完成项目现场实地踏勘、相关基础资料调研收集，并向采购人报送完整方案设计成果文件。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方案设计文件经采购人审定通过后7个工作日内，乙方提交全套初步设计文件及对应工程概算书。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初步设计文件经采购人审核确认后10个工作日内，乙方出具完整施工图设计文件及施工图预算。</w:t>
      </w:r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t>乙方提供施工图审查技术配合、施工全过程技术支撑、竣工资料整理、结算编制及审计对接配套服务，上述服务期限自施工图交付起，直至本项目竣工验收合格、结算审计全部完成之日结束。</w:t>
      </w:r>
    </w:p>
    <w:p w:rsidR="00E84AC3" w:rsidRDefault="00E84AC3" w:rsidP="00E84AC3">
      <w:pPr>
        <w:spacing w:before="160" w:after="120" w:line="288" w:lineRule="auto"/>
        <w:ind w:firstLineChars="100" w:firstLine="321"/>
        <w:outlineLvl w:val="0"/>
        <w:rPr>
          <w:rFonts w:ascii="黑体" w:eastAsia="黑体" w:hAnsi="黑体"/>
          <w:b/>
          <w:sz w:val="32"/>
          <w:szCs w:val="32"/>
          <w:lang w:eastAsia="zh-CN"/>
        </w:rPr>
      </w:pPr>
      <w:bookmarkStart w:id="24" w:name="_Toc20703"/>
      <w:r>
        <w:rPr>
          <w:rFonts w:ascii="黑体" w:eastAsia="黑体" w:hAnsi="黑体" w:hint="eastAsia"/>
          <w:b/>
          <w:sz w:val="32"/>
          <w:szCs w:val="32"/>
          <w:lang w:eastAsia="zh-CN"/>
        </w:rPr>
        <w:t>七、其他要求</w:t>
      </w:r>
      <w:bookmarkEnd w:id="24"/>
    </w:p>
    <w:p w:rsidR="00E84AC3" w:rsidRDefault="00E84AC3" w:rsidP="00E84AC3">
      <w:pPr>
        <w:numPr>
          <w:ilvl w:val="0"/>
          <w:numId w:val="2"/>
        </w:numPr>
        <w:spacing w:after="0" w:line="360" w:lineRule="auto"/>
        <w:ind w:left="0" w:firstLineChars="200" w:firstLine="480"/>
        <w:jc w:val="both"/>
        <w:rPr>
          <w:lang w:eastAsia="zh-CN"/>
        </w:rPr>
      </w:pPr>
      <w:r>
        <w:rPr>
          <w:rFonts w:hint="eastAsia"/>
          <w:lang w:eastAsia="zh-CN"/>
        </w:rPr>
        <w:lastRenderedPageBreak/>
        <w:t>保密责任：设计单位须对采购人交付的图纸、各类业务资料、设备参数、网络及系统数据等全部相关信息严格履行保密义务，未经采购人书面许可不得泄露、转借或挪作他用。</w:t>
      </w:r>
    </w:p>
    <w:p w:rsidR="00791F6E" w:rsidRDefault="00E84AC3" w:rsidP="00E84AC3">
      <w:pPr>
        <w:rPr>
          <w:lang w:eastAsia="zh-CN"/>
        </w:rPr>
      </w:pPr>
      <w:r>
        <w:rPr>
          <w:rFonts w:hint="eastAsia"/>
          <w:lang w:eastAsia="zh-CN"/>
        </w:rPr>
        <w:t>知识产权归属：本项目全部设计成果知识产权归采购人独家所有。设计单位严禁私自将本项目设计成果应用于其他项目，亦不得擅自对外传播、刊发。</w:t>
      </w:r>
    </w:p>
    <w:sectPr w:rsidR="00791F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7E0" w:rsidRDefault="001817E0" w:rsidP="00E84AC3">
      <w:pPr>
        <w:spacing w:after="0" w:line="240" w:lineRule="auto"/>
      </w:pPr>
      <w:r>
        <w:separator/>
      </w:r>
    </w:p>
  </w:endnote>
  <w:endnote w:type="continuationSeparator" w:id="0">
    <w:p w:rsidR="001817E0" w:rsidRDefault="001817E0" w:rsidP="00E84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7E0" w:rsidRDefault="001817E0" w:rsidP="00E84AC3">
      <w:pPr>
        <w:spacing w:after="0" w:line="240" w:lineRule="auto"/>
      </w:pPr>
      <w:r>
        <w:separator/>
      </w:r>
    </w:p>
  </w:footnote>
  <w:footnote w:type="continuationSeparator" w:id="0">
    <w:p w:rsidR="001817E0" w:rsidRDefault="001817E0" w:rsidP="00E84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68A6E8"/>
    <w:multiLevelType w:val="singleLevel"/>
    <w:tmpl w:val="8E68A6E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1">
    <w:nsid w:val="E1A14E54"/>
    <w:multiLevelType w:val="singleLevel"/>
    <w:tmpl w:val="E1A14E5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2">
    <w:nsid w:val="FCC25C5D"/>
    <w:multiLevelType w:val="singleLevel"/>
    <w:tmpl w:val="FCC25C5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3">
    <w:nsid w:val="2622DABE"/>
    <w:multiLevelType w:val="singleLevel"/>
    <w:tmpl w:val="2622DABE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abstractNum w:abstractNumId="4">
    <w:nsid w:val="47B64AE7"/>
    <w:multiLevelType w:val="singleLevel"/>
    <w:tmpl w:val="47B64AE7"/>
    <w:lvl w:ilvl="0">
      <w:start w:val="1"/>
      <w:numFmt w:val="bullet"/>
      <w:lvlText w:val=""/>
      <w:lvlJc w:val="left"/>
      <w:pPr>
        <w:ind w:left="1554" w:hanging="420"/>
      </w:pPr>
      <w:rPr>
        <w:rFonts w:ascii="Wingdings" w:hAnsi="Wingdings" w:hint="default"/>
      </w:rPr>
    </w:lvl>
  </w:abstractNum>
  <w:abstractNum w:abstractNumId="5">
    <w:nsid w:val="5C4526B5"/>
    <w:multiLevelType w:val="singleLevel"/>
    <w:tmpl w:val="5C4526B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D8"/>
    <w:rsid w:val="001817E0"/>
    <w:rsid w:val="00791F6E"/>
    <w:rsid w:val="00C17ED8"/>
    <w:rsid w:val="00E8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C3"/>
    <w:pPr>
      <w:spacing w:after="200" w:line="276" w:lineRule="auto"/>
    </w:pPr>
    <w:rPr>
      <w:rFonts w:ascii="仿宋" w:eastAsia="仿宋" w:hAnsi="仿宋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4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4A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4A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4AC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C3"/>
    <w:pPr>
      <w:spacing w:after="200" w:line="276" w:lineRule="auto"/>
    </w:pPr>
    <w:rPr>
      <w:rFonts w:ascii="仿宋" w:eastAsia="仿宋" w:hAnsi="仿宋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4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4A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4A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4A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朱熙</dc:creator>
  <cp:keywords/>
  <dc:description/>
  <cp:lastModifiedBy>朱熙</cp:lastModifiedBy>
  <cp:revision>2</cp:revision>
  <dcterms:created xsi:type="dcterms:W3CDTF">2026-08-03T09:04:00Z</dcterms:created>
  <dcterms:modified xsi:type="dcterms:W3CDTF">2026-08-03T09:11:00Z</dcterms:modified>
</cp:coreProperties>
</file>