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69FE55">
      <w:pPr>
        <w:spacing w:after="360"/>
        <w:jc w:val="center"/>
      </w:pPr>
      <w:bookmarkStart w:id="0" w:name="_GoBack"/>
      <w:r>
        <w:rPr>
          <w:rFonts w:ascii="Times New Roman" w:hAnsi="Times New Roman" w:eastAsia="方正小标宋简体"/>
          <w:b/>
          <w:sz w:val="44"/>
        </w:rPr>
        <w:t>名老中医智能体与远程中医会诊调度平台</w:t>
      </w:r>
    </w:p>
    <w:bookmarkEnd w:id="0"/>
    <w:p w14:paraId="18CEE9FF">
      <w:pPr>
        <w:spacing w:before="240" w:after="120"/>
        <w:rPr>
          <w:rFonts w:hint="eastAsia" w:eastAsia="黑体"/>
          <w:lang w:val="en-US" w:eastAsia="zh-CN"/>
        </w:rPr>
      </w:pPr>
      <w:r>
        <w:rPr>
          <w:rFonts w:ascii="Times New Roman" w:hAnsi="Times New Roman" w:eastAsia="黑体"/>
          <w:b/>
          <w:sz w:val="32"/>
        </w:rPr>
        <w:t>一、建设</w:t>
      </w:r>
      <w:r>
        <w:rPr>
          <w:rFonts w:hint="eastAsia" w:eastAsia="黑体"/>
          <w:b/>
          <w:sz w:val="32"/>
          <w:lang w:val="en-US" w:eastAsia="zh-CN"/>
        </w:rPr>
        <w:t>背景</w:t>
      </w:r>
    </w:p>
    <w:p w14:paraId="3C3D2138">
      <w:pPr>
        <w:spacing w:line="360" w:lineRule="auto"/>
        <w:ind w:firstLine="480"/>
        <w:jc w:val="both"/>
      </w:pPr>
      <w:r>
        <w:rPr>
          <w:rFonts w:ascii="Times New Roman" w:hAnsi="Times New Roman" w:eastAsia="仿宋_GB2312"/>
          <w:sz w:val="24"/>
        </w:rPr>
        <w:t>本项目聚焦名老中医经验传承创新、中医病案数据资产化与优质中医资源下沉共享核心需求，规划建设集名老中医智能体、病案治理、远程中医会诊于一体的数字中医平台。平台围绕名医医案采集、标准化脱敏、结构化录入、全流程质控审核、知识图谱构建、智能体服务、远程会诊调度、合规受控使用等关键环节，搭建覆盖诊前预问诊、诊中辅助决策、诊后随访管理与跨区域远程协同全流程的数字中医服务体系。</w:t>
      </w:r>
    </w:p>
    <w:p w14:paraId="4E16C9A7">
      <w:pPr>
        <w:spacing w:line="360" w:lineRule="auto"/>
        <w:ind w:firstLine="480"/>
        <w:jc w:val="both"/>
      </w:pPr>
      <w:r>
        <w:rPr>
          <w:rFonts w:ascii="Times New Roman" w:hAnsi="Times New Roman" w:eastAsia="仿宋_GB2312"/>
          <w:sz w:val="24"/>
        </w:rPr>
        <w:t>平台依托脱敏病案和覆盖</w:t>
      </w:r>
      <w:r>
        <w:rPr>
          <w:rFonts w:hint="eastAsia"/>
          <w:sz w:val="24"/>
          <w:lang w:val="en-US" w:eastAsia="zh-CN"/>
        </w:rPr>
        <w:t>病种、</w:t>
      </w:r>
      <w:r>
        <w:rPr>
          <w:rFonts w:ascii="Times New Roman" w:hAnsi="Times New Roman" w:eastAsia="仿宋_GB2312"/>
          <w:sz w:val="24"/>
        </w:rPr>
        <w:t>证型、干预方案的专科知识图谱，以及症状词、同义词的症状标准词体系，深度对接门诊诊疗、</w:t>
      </w:r>
      <w:r>
        <w:rPr>
          <w:rFonts w:hint="eastAsia"/>
          <w:sz w:val="24"/>
          <w:lang w:val="en-US" w:eastAsia="zh-CN"/>
        </w:rPr>
        <w:t>中医信息</w:t>
      </w:r>
      <w:r>
        <w:rPr>
          <w:rFonts w:ascii="Times New Roman" w:hAnsi="Times New Roman" w:eastAsia="仿宋_GB2312"/>
          <w:sz w:val="24"/>
        </w:rPr>
        <w:t>采集、随访记录等业务信息，实现名医经验数字化传承、病案数据结构化治理与患者智能服务的一体贯通；同时建设远程中医会诊平台与智慧调度驾驶舱，构建“三级医院会诊中心—区级枢纽—乡镇卫生院”三级协同与直连会诊双模式的远程中医服务网络，构建高质量、标准化、可复用的数字中医数据与知识底座，全面支撑临床辅助诊疗、名中医经验传承、专病随访管理、基层远程协作与中医人工智能等核心应用。</w:t>
      </w:r>
    </w:p>
    <w:p w14:paraId="7C97DBE8">
      <w:pPr>
        <w:spacing w:before="240" w:after="120"/>
        <w:rPr>
          <w:rFonts w:hint="eastAsia" w:eastAsia="黑体"/>
          <w:lang w:val="en-US" w:eastAsia="zh-CN"/>
        </w:rPr>
      </w:pPr>
      <w:r>
        <w:rPr>
          <w:rFonts w:hint="eastAsia" w:eastAsia="黑体"/>
          <w:b/>
          <w:sz w:val="32"/>
          <w:lang w:val="en-US" w:eastAsia="zh-CN"/>
        </w:rPr>
        <w:t>二</w:t>
      </w:r>
      <w:r>
        <w:rPr>
          <w:rFonts w:ascii="Times New Roman" w:hAnsi="Times New Roman" w:eastAsia="黑体"/>
          <w:b/>
          <w:sz w:val="32"/>
        </w:rPr>
        <w:t>、功能</w:t>
      </w:r>
      <w:r>
        <w:rPr>
          <w:rFonts w:hint="eastAsia" w:eastAsia="黑体"/>
          <w:b/>
          <w:sz w:val="32"/>
          <w:lang w:val="en-US" w:eastAsia="zh-CN"/>
        </w:rPr>
        <w:t>需求</w:t>
      </w:r>
    </w:p>
    <w:p w14:paraId="0B175FE5">
      <w:pPr>
        <w:spacing w:before="160" w:after="80"/>
      </w:pPr>
      <w:r>
        <w:rPr>
          <w:rFonts w:ascii="Times New Roman" w:hAnsi="Times New Roman" w:eastAsia="楷体_GB2312"/>
          <w:b/>
          <w:sz w:val="28"/>
        </w:rPr>
        <w:t>（一）名医病案数据统一接入与脱敏归档</w:t>
      </w:r>
    </w:p>
    <w:p w14:paraId="43C4A378">
      <w:pPr>
        <w:spacing w:line="360" w:lineRule="auto"/>
        <w:ind w:firstLine="480"/>
      </w:pPr>
      <w:r>
        <w:rPr>
          <w:rFonts w:ascii="Times New Roman" w:hAnsi="Times New Roman" w:eastAsia="仿宋_GB2312"/>
          <w:sz w:val="24"/>
        </w:rPr>
        <w:t>适配门诊记录、历史纸质医案、书籍医案等多源头、多格式的中医病案数据，依托标准化元数据规范，实现病案数据的统一汇聚、格式校验、标准化转换、合规归档与集中管理。</w:t>
      </w:r>
    </w:p>
    <w:p w14:paraId="73B2F2A0">
      <w:pPr>
        <w:spacing w:before="160" w:after="80"/>
      </w:pPr>
      <w:r>
        <w:rPr>
          <w:rFonts w:ascii="Times New Roman" w:hAnsi="Times New Roman" w:eastAsia="楷体_GB2312"/>
          <w:b/>
          <w:sz w:val="28"/>
        </w:rPr>
        <w:t>（二）中医结构化病案治理工作台</w:t>
      </w:r>
    </w:p>
    <w:p w14:paraId="60B6079A">
      <w:pPr>
        <w:spacing w:line="360" w:lineRule="auto"/>
        <w:ind w:firstLine="480"/>
      </w:pPr>
      <w:r>
        <w:rPr>
          <w:rFonts w:ascii="Times New Roman" w:hAnsi="Times New Roman" w:eastAsia="仿宋_GB2312"/>
          <w:sz w:val="24"/>
        </w:rPr>
        <w:t>建设病案治理工作台，建立病案脱敏、录入、清洗、补全、审查、结构化的全流程闭环。建立“系统自动校验—医生确认—统计阈值与结构质量闸”的质控体系：病案“完成”即视为医生审核动作，补全成果经质量闸后落地写入病案库，不触碰知识图谱种子与干预方案数据</w:t>
      </w:r>
      <w:r>
        <w:rPr>
          <w:rFonts w:hint="eastAsia"/>
          <w:sz w:val="24"/>
          <w:lang w:eastAsia="zh-CN"/>
        </w:rPr>
        <w:t>，</w:t>
      </w:r>
      <w:r>
        <w:rPr>
          <w:rFonts w:hint="eastAsia"/>
          <w:sz w:val="24"/>
          <w:lang w:val="en-US" w:eastAsia="zh-CN"/>
        </w:rPr>
        <w:t>要求</w:t>
      </w:r>
      <w:r>
        <w:rPr>
          <w:rFonts w:ascii="Times New Roman" w:hAnsi="Times New Roman" w:eastAsia="仿宋_GB2312"/>
          <w:sz w:val="24"/>
        </w:rPr>
        <w:t>字段闭环治理，可回归、可审计。</w:t>
      </w:r>
    </w:p>
    <w:p w14:paraId="78BAB7FA">
      <w:pPr>
        <w:spacing w:before="160" w:after="80"/>
      </w:pPr>
      <w:r>
        <w:rPr>
          <w:rFonts w:ascii="Times New Roman" w:hAnsi="Times New Roman" w:eastAsia="楷体_GB2312"/>
          <w:b/>
          <w:sz w:val="28"/>
        </w:rPr>
        <w:t>（三）中医传承经验知识图谱与症状标准词体系</w:t>
      </w:r>
    </w:p>
    <w:p w14:paraId="5C8FF922">
      <w:pPr>
        <w:spacing w:line="360" w:lineRule="auto"/>
        <w:ind w:firstLine="480"/>
      </w:pPr>
      <w:r>
        <w:rPr>
          <w:rFonts w:ascii="Times New Roman" w:hAnsi="Times New Roman" w:eastAsia="仿宋_GB2312"/>
          <w:sz w:val="24"/>
        </w:rPr>
        <w:t>构建中医“六位一体”整合模式知识图谱，实现“病种—证型—六位模块—干预方案”完整知识链路的结构化表达与可视化呈现，支持 3D 全景、推理演示、证据链、覆盖矩阵等多视图展示：推理演示完整呈现从患者口语描述到辨病、辨证、给出六位一体整合方案的辨证思维链</w:t>
      </w:r>
      <w:r>
        <w:rPr>
          <w:rFonts w:hint="eastAsia"/>
          <w:sz w:val="24"/>
          <w:lang w:eastAsia="zh-CN"/>
        </w:rPr>
        <w:t>，</w:t>
      </w:r>
      <w:r>
        <w:rPr>
          <w:rFonts w:ascii="Times New Roman" w:hAnsi="Times New Roman" w:eastAsia="仿宋_GB2312"/>
          <w:sz w:val="24"/>
        </w:rPr>
        <w:t>兼容川渝方言口语表达，患者口语与标准中医术语智能匹配；证据链视图保证每条知识有出处、可追溯；覆盖矩阵直观呈现各癌种、各模块知识完备度，指导后续知识补全。</w:t>
      </w:r>
    </w:p>
    <w:p w14:paraId="1732D846">
      <w:pPr>
        <w:spacing w:before="160" w:after="80"/>
      </w:pPr>
      <w:r>
        <w:rPr>
          <w:rFonts w:ascii="Times New Roman" w:hAnsi="Times New Roman" w:eastAsia="楷体_GB2312"/>
          <w:b/>
          <w:sz w:val="28"/>
        </w:rPr>
        <w:t>（四）名老中医智能体建设与多端服务</w:t>
      </w:r>
    </w:p>
    <w:p w14:paraId="1E9FEFFE">
      <w:pPr>
        <w:spacing w:line="360" w:lineRule="auto"/>
        <w:ind w:firstLine="480"/>
      </w:pPr>
      <w:r>
        <w:rPr>
          <w:rFonts w:hint="eastAsia"/>
          <w:sz w:val="24"/>
          <w:lang w:val="en-US" w:eastAsia="zh-CN"/>
        </w:rPr>
        <w:t>建设名老中医专科智能体。</w:t>
      </w:r>
      <w:r>
        <w:rPr>
          <w:rFonts w:ascii="Times New Roman" w:hAnsi="Times New Roman" w:eastAsia="仿宋_GB2312"/>
          <w:sz w:val="24"/>
        </w:rPr>
        <w:t>围绕辨证论治、名中医传承、诊疗、专病随访四个环节提供 AI 服务，辅助医生遣方用药决策、支撑青年医师跟师学习、实现四诊信息结构化采集与疗效闭环管理。支持川渝方言语音交互、流式输出应答，覆盖移动端与 Web 端。</w:t>
      </w:r>
    </w:p>
    <w:p w14:paraId="1AE9B470">
      <w:pPr>
        <w:spacing w:before="160" w:after="80"/>
      </w:pPr>
      <w:r>
        <w:rPr>
          <w:rFonts w:ascii="Times New Roman" w:hAnsi="Times New Roman" w:eastAsia="楷体_GB2312"/>
          <w:b/>
          <w:sz w:val="28"/>
        </w:rPr>
        <w:t>（五）问诊管理与病案集检索分析</w:t>
      </w:r>
    </w:p>
    <w:p w14:paraId="13265256">
      <w:pPr>
        <w:spacing w:line="360" w:lineRule="auto"/>
        <w:ind w:firstLine="480"/>
      </w:pPr>
      <w:r>
        <w:rPr>
          <w:rFonts w:ascii="Times New Roman" w:hAnsi="Times New Roman" w:eastAsia="仿宋_GB2312"/>
          <w:sz w:val="24"/>
        </w:rPr>
        <w:t>搭建问诊管理与病案集管理模块，支持按智能体来源、审核状态、时间范围等多维度组合条件快速检索预问诊记录与正式病案，实现医生调阅、审核、归档的即时化、精准化。配套多维统计分析功能，对病案数量、病种分布、证型分布、模块完备度、数据质量等维度进行统计汇总与可视化展示</w:t>
      </w:r>
      <w:r>
        <w:rPr>
          <w:rFonts w:hint="eastAsia" w:ascii="Times New Roman" w:hAnsi="Times New Roman"/>
          <w:sz w:val="24"/>
          <w:lang w:eastAsia="zh-CN"/>
        </w:rPr>
        <w:t>。</w:t>
      </w:r>
      <w:r>
        <w:rPr>
          <w:rFonts w:hint="eastAsia" w:ascii="Times New Roman" w:hAnsi="Times New Roman"/>
          <w:sz w:val="24"/>
          <w:lang w:val="en-US" w:eastAsia="zh-CN"/>
        </w:rPr>
        <w:t>同时具备医生审核、打印、到处等功能。</w:t>
      </w:r>
    </w:p>
    <w:p w14:paraId="0E3A2954">
      <w:pPr>
        <w:spacing w:before="160" w:after="80"/>
      </w:pPr>
      <w:r>
        <w:rPr>
          <w:rFonts w:ascii="Times New Roman" w:hAnsi="Times New Roman" w:eastAsia="楷体_GB2312"/>
          <w:b/>
          <w:sz w:val="28"/>
        </w:rPr>
        <w:t>（六）远程中医会诊平台与智慧</w:t>
      </w:r>
      <w:r>
        <w:rPr>
          <w:rFonts w:hint="eastAsia" w:eastAsia="楷体_GB2312"/>
          <w:b/>
          <w:sz w:val="28"/>
          <w:lang w:val="en-US" w:eastAsia="zh-CN"/>
        </w:rPr>
        <w:t>管理</w:t>
      </w:r>
      <w:r>
        <w:rPr>
          <w:rFonts w:ascii="Times New Roman" w:hAnsi="Times New Roman" w:eastAsia="楷体_GB2312"/>
          <w:b/>
          <w:sz w:val="28"/>
        </w:rPr>
        <w:t>驾驶舱</w:t>
      </w:r>
    </w:p>
    <w:p w14:paraId="4E503E2E">
      <w:pPr>
        <w:spacing w:line="360" w:lineRule="auto"/>
        <w:ind w:firstLine="480"/>
        <w:rPr>
          <w:rFonts w:hint="eastAsia" w:eastAsia="仿宋_GB2312"/>
          <w:lang w:eastAsia="zh-CN"/>
        </w:rPr>
      </w:pPr>
      <w:r>
        <w:rPr>
          <w:rFonts w:ascii="Times New Roman" w:hAnsi="Times New Roman" w:eastAsia="仿宋_GB2312"/>
          <w:sz w:val="24"/>
        </w:rPr>
        <w:t>建设</w:t>
      </w:r>
      <w:r>
        <w:rPr>
          <w:rFonts w:hint="eastAsia"/>
          <w:sz w:val="24"/>
          <w:lang w:val="en-US" w:eastAsia="zh-CN"/>
        </w:rPr>
        <w:t>以远程中医远程会诊智慧管理驾驶舱为核心的</w:t>
      </w:r>
      <w:r>
        <w:rPr>
          <w:rFonts w:ascii="Times New Roman" w:hAnsi="Times New Roman" w:eastAsia="仿宋_GB2312"/>
          <w:sz w:val="24"/>
        </w:rPr>
        <w:t>远程中医会诊平台，</w:t>
      </w:r>
      <w:r>
        <w:rPr>
          <w:rFonts w:hint="eastAsia"/>
          <w:sz w:val="24"/>
          <w:lang w:val="en-US" w:eastAsia="zh-CN"/>
        </w:rPr>
        <w:t>形成以我院为核心，覆盖区县、乡镇/街道的三级中医会诊智慧管理架构。平台可实现远程数据统计及分析、坐诊专家资源及状态查询、专家</w:t>
      </w:r>
      <w:r>
        <w:rPr>
          <w:rFonts w:ascii="Times New Roman" w:hAnsi="Times New Roman" w:eastAsia="仿宋_GB2312"/>
          <w:sz w:val="24"/>
        </w:rPr>
        <w:t>会诊申请、</w:t>
      </w:r>
      <w:r>
        <w:rPr>
          <w:rFonts w:hint="eastAsia" w:ascii="Times New Roman" w:hAnsi="Times New Roman"/>
          <w:sz w:val="24"/>
          <w:lang w:val="en-US" w:eastAsia="zh-CN"/>
        </w:rPr>
        <w:t>专家推荐匹配、</w:t>
      </w:r>
      <w:r>
        <w:rPr>
          <w:rFonts w:ascii="Times New Roman" w:hAnsi="Times New Roman" w:eastAsia="仿宋_GB2312"/>
          <w:sz w:val="24"/>
        </w:rPr>
        <w:t>专家排班</w:t>
      </w:r>
      <w:r>
        <w:rPr>
          <w:rFonts w:hint="eastAsia" w:ascii="Times New Roman" w:hAnsi="Times New Roman"/>
          <w:sz w:val="24"/>
          <w:lang w:val="en-US" w:eastAsia="zh-CN"/>
        </w:rPr>
        <w:t>调度</w:t>
      </w:r>
      <w:r>
        <w:rPr>
          <w:rFonts w:ascii="Times New Roman" w:hAnsi="Times New Roman" w:eastAsia="仿宋_GB2312"/>
          <w:sz w:val="24"/>
        </w:rPr>
        <w:t>、</w:t>
      </w:r>
      <w:r>
        <w:rPr>
          <w:rFonts w:hint="eastAsia" w:ascii="Times New Roman" w:hAnsi="Times New Roman"/>
          <w:sz w:val="24"/>
          <w:lang w:val="en-US" w:eastAsia="zh-CN"/>
        </w:rPr>
        <w:t>会诊</w:t>
      </w:r>
      <w:r>
        <w:rPr>
          <w:rFonts w:ascii="Times New Roman" w:hAnsi="Times New Roman" w:eastAsia="仿宋_GB2312"/>
          <w:sz w:val="24"/>
        </w:rPr>
        <w:t>实时连线、远程</w:t>
      </w:r>
      <w:r>
        <w:rPr>
          <w:rFonts w:hint="eastAsia" w:ascii="Times New Roman" w:hAnsi="Times New Roman"/>
          <w:sz w:val="24"/>
          <w:lang w:val="en-US" w:eastAsia="zh-CN"/>
        </w:rPr>
        <w:t>中医监测</w:t>
      </w:r>
      <w:r>
        <w:rPr>
          <w:rFonts w:ascii="Times New Roman" w:hAnsi="Times New Roman" w:eastAsia="仿宋_GB2312"/>
          <w:sz w:val="24"/>
        </w:rPr>
        <w:t>设备接入</w:t>
      </w:r>
      <w:r>
        <w:rPr>
          <w:rFonts w:hint="eastAsia" w:ascii="Times New Roman" w:hAnsi="Times New Roman"/>
          <w:sz w:val="24"/>
          <w:lang w:eastAsia="zh-CN"/>
        </w:rPr>
        <w:t>、</w:t>
      </w:r>
      <w:r>
        <w:rPr>
          <w:rFonts w:ascii="Times New Roman" w:hAnsi="Times New Roman" w:eastAsia="仿宋_GB2312"/>
          <w:sz w:val="24"/>
        </w:rPr>
        <w:t>会诊结论回传</w:t>
      </w:r>
      <w:r>
        <w:rPr>
          <w:rFonts w:hint="eastAsia" w:ascii="Times New Roman" w:hAnsi="Times New Roman"/>
          <w:sz w:val="24"/>
          <w:lang w:eastAsia="zh-CN"/>
        </w:rPr>
        <w:t>、</w:t>
      </w:r>
      <w:r>
        <w:rPr>
          <w:rFonts w:hint="eastAsia" w:ascii="Times New Roman" w:hAnsi="Times New Roman"/>
          <w:sz w:val="24"/>
          <w:lang w:val="en-US" w:eastAsia="zh-CN"/>
        </w:rPr>
        <w:t>信息</w:t>
      </w:r>
      <w:r>
        <w:rPr>
          <w:rFonts w:ascii="Times New Roman" w:hAnsi="Times New Roman" w:eastAsia="仿宋_GB2312"/>
          <w:sz w:val="24"/>
        </w:rPr>
        <w:t>预警</w:t>
      </w:r>
      <w:r>
        <w:rPr>
          <w:rFonts w:hint="eastAsia" w:ascii="Times New Roman" w:hAnsi="Times New Roman"/>
          <w:sz w:val="24"/>
          <w:lang w:eastAsia="zh-CN"/>
        </w:rPr>
        <w:t>、</w:t>
      </w:r>
      <w:r>
        <w:rPr>
          <w:rFonts w:ascii="Times New Roman" w:hAnsi="Times New Roman" w:eastAsia="仿宋_GB2312"/>
          <w:sz w:val="24"/>
        </w:rPr>
        <w:t>站点管理、</w:t>
      </w:r>
      <w:r>
        <w:rPr>
          <w:rFonts w:hint="eastAsia"/>
          <w:sz w:val="24"/>
          <w:lang w:val="en-US" w:eastAsia="zh-CN"/>
        </w:rPr>
        <w:t>区域病种分类分析、</w:t>
      </w:r>
      <w:r>
        <w:rPr>
          <w:rFonts w:ascii="Times New Roman" w:hAnsi="Times New Roman" w:eastAsia="仿宋_GB2312"/>
          <w:sz w:val="24"/>
        </w:rPr>
        <w:t>会诊分析与慢病管理、实时调度播报</w:t>
      </w:r>
      <w:r>
        <w:rPr>
          <w:rFonts w:hint="eastAsia" w:ascii="Times New Roman" w:hAnsi="Times New Roman"/>
          <w:sz w:val="24"/>
          <w:lang w:val="en-US" w:eastAsia="zh-CN"/>
        </w:rPr>
        <w:t>等功能，可实现</w:t>
      </w:r>
      <w:r>
        <w:rPr>
          <w:rFonts w:ascii="Times New Roman" w:hAnsi="Times New Roman" w:eastAsia="仿宋_GB2312"/>
          <w:sz w:val="24"/>
        </w:rPr>
        <w:t>智能分析、实时监测和精准调度</w:t>
      </w:r>
      <w:r>
        <w:rPr>
          <w:rFonts w:hint="eastAsia" w:ascii="Times New Roman" w:hAnsi="Times New Roman"/>
          <w:sz w:val="24"/>
          <w:lang w:eastAsia="zh-CN"/>
        </w:rPr>
        <w:t>。</w:t>
      </w:r>
    </w:p>
    <w:p w14:paraId="49B2DC25">
      <w:pPr>
        <w:spacing w:before="160" w:after="80"/>
      </w:pPr>
      <w:r>
        <w:rPr>
          <w:rFonts w:ascii="Times New Roman" w:hAnsi="Times New Roman" w:eastAsia="楷体_GB2312"/>
          <w:b/>
          <w:sz w:val="28"/>
        </w:rPr>
        <w:t>（七）分级权限控制与全链路日志审计</w:t>
      </w:r>
    </w:p>
    <w:p w14:paraId="1B3E360B">
      <w:pPr>
        <w:spacing w:line="360" w:lineRule="auto"/>
        <w:ind w:firstLine="480"/>
      </w:pPr>
      <w:r>
        <w:rPr>
          <w:rFonts w:ascii="Times New Roman" w:hAnsi="Times New Roman" w:eastAsia="仿宋_GB2312"/>
          <w:sz w:val="24"/>
        </w:rPr>
        <w:t>严格遵循医疗数据安全管理规范，建立数据分类分级、人员分级授权管理体系，按护士、医生、管理员三级角色细化数据访问、审核、导出等权限，停用账号即时生效。落实全流程操作留痕机制，对病案修改、审核流转、报告打印、数据导出等所有操作进行日志记录与操作人留痕，支持操作溯源、风险排查、合规审计。</w:t>
      </w:r>
    </w:p>
    <w:p w14:paraId="5108A450">
      <w:pPr>
        <w:spacing w:line="360" w:lineRule="auto"/>
        <w:ind w:firstLine="480"/>
      </w:pPr>
      <w:r>
        <w:rPr>
          <w:rFonts w:ascii="Times New Roman" w:hAnsi="Times New Roman" w:eastAsia="仿宋_GB2312"/>
          <w:sz w:val="24"/>
        </w:rPr>
        <w:t>所有</w:t>
      </w:r>
      <w:r>
        <w:rPr>
          <w:rFonts w:hint="eastAsia"/>
          <w:sz w:val="24"/>
          <w:lang w:val="en-US" w:eastAsia="zh-CN"/>
        </w:rPr>
        <w:t>数字需</w:t>
      </w:r>
      <w:r>
        <w:rPr>
          <w:rFonts w:ascii="Times New Roman" w:hAnsi="Times New Roman" w:eastAsia="仿宋_GB2312"/>
          <w:sz w:val="24"/>
        </w:rPr>
        <w:t>本地脱敏处理，实现医疗数据从采集、存储、加工、使用到共享的全生命周期安全管控，筑牢数据安全合规防线。</w:t>
      </w:r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1E14076-FCC4-4BF9-90CF-31FAE3F89D9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  <w:embedRegular r:id="rId2" w:fontKey="{6BFB0338-C051-48C7-BD9B-CBC421FABA1D}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3" w:fontKey="{E06C0372-F25B-4DED-A1A6-C3BD345CEDD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A260FE43-3CD0-4A68-BB78-80EABEC537C8}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5" w:fontKey="{B9072F87-3E35-416C-8AA6-5ABD53013F33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6" w:fontKey="{74B23DB5-55F6-420A-BAA2-8FE323CB0BEA}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TrueTypeFonts/>
  <w:saveSubsetFonts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41F81838"/>
    <w:rsid w:val="421A039B"/>
    <w:rsid w:val="69F67967"/>
    <w:rsid w:val="7F8B1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qFormat="1"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qFormat="1"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qFormat="1"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仿宋_GB2312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5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36">
    <w:name w:val="Header Char"/>
    <w:basedOn w:val="132"/>
    <w:link w:val="25"/>
    <w:qFormat/>
    <w:uiPriority w:val="99"/>
  </w:style>
  <w:style w:type="character" w:customStyle="1" w:styleId="137">
    <w:name w:val="Footer Char"/>
    <w:basedOn w:val="132"/>
    <w:link w:val="24"/>
    <w:qFormat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2094</Words>
  <Characters>2101</Characters>
  <Lines>0</Lines>
  <Paragraphs>0</Paragraphs>
  <TotalTime>17</TotalTime>
  <ScaleCrop>false</ScaleCrop>
  <LinksUpToDate>false</LinksUpToDate>
  <CharactersWithSpaces>2110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舒斌</cp:lastModifiedBy>
  <dcterms:modified xsi:type="dcterms:W3CDTF">2026-08-20T10:06:47Z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eyJoZGlkIjoiN2U2YjM5NzY5MDc3ZDRmMzAyNDRhMWNjMTQ4NzMyZWQiLCJ1c2VySWQiOiIxNDgxNDI5NDYifQ==</vt:lpwstr>
  </property>
  <property fmtid="{D5CDD505-2E9C-101B-9397-08002B2CF9AE}" pid="3" name="KSOProductBuildVer">
    <vt:lpwstr>2052-12.1.0.28043</vt:lpwstr>
  </property>
  <property fmtid="{D5CDD505-2E9C-101B-9397-08002B2CF9AE}" pid="4" name="ICV">
    <vt:lpwstr>C0192478865D4840AA8C457822FCBC59_13</vt:lpwstr>
  </property>
</Properties>
</file>