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4899B">
      <w:pPr>
        <w:spacing w:before="480" w:after="480" w:line="288" w:lineRule="auto"/>
        <w:ind w:left="0"/>
        <w:jc w:val="center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b/>
          <w:sz w:val="52"/>
        </w:rPr>
        <w:t>数智医院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建设发展</w:t>
      </w:r>
      <w:r>
        <w:rPr>
          <w:rFonts w:ascii="Arial" w:hAnsi="Arial" w:eastAsia="等线" w:cs="Arial"/>
          <w:b/>
          <w:sz w:val="52"/>
        </w:rPr>
        <w:t>规划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咨询服务</w:t>
      </w:r>
    </w:p>
    <w:p w14:paraId="6989D1C3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一、项目基本概况</w:t>
      </w:r>
      <w:bookmarkEnd w:id="0"/>
    </w:p>
    <w:p w14:paraId="5ACA491F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1. 项目名称：医院数智化</w:t>
      </w:r>
      <w:r>
        <w:rPr>
          <w:rFonts w:hint="eastAsia" w:ascii="Arial" w:hAnsi="Arial" w:eastAsia="等线" w:cs="Arial"/>
          <w:sz w:val="22"/>
          <w:lang w:val="en-US" w:eastAsia="zh-CN"/>
        </w:rPr>
        <w:t>建设发展</w:t>
      </w:r>
      <w:r>
        <w:rPr>
          <w:rFonts w:ascii="Arial" w:hAnsi="Arial" w:eastAsia="等线" w:cs="Arial"/>
          <w:sz w:val="22"/>
        </w:rPr>
        <w:t>规划</w:t>
      </w:r>
      <w:r>
        <w:rPr>
          <w:rFonts w:hint="eastAsia" w:ascii="Arial" w:hAnsi="Arial" w:eastAsia="等线" w:cs="Arial"/>
          <w:sz w:val="22"/>
          <w:lang w:val="en-US" w:eastAsia="zh-CN"/>
        </w:rPr>
        <w:t>咨询服务</w:t>
      </w:r>
    </w:p>
    <w:p w14:paraId="5FAB6F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项目背景：为全面落实国家、市卫生健康数字化发展战略，衔接公立医院高质量发展、智慧医院建设、医疗数据治理、数字健康产业发展等相关政策要求，立足本院信息化建设现状、学科发展定位、运营管理痛点，科学谋划医院数智化转型发展路径，构建全域协同、数据赋能、智能高效、安全合规的现代化数智医院体系，特公开遴选第三方专业规划设计服务商，负责数智医院</w:t>
      </w:r>
      <w:r>
        <w:rPr>
          <w:rFonts w:hint="eastAsia" w:ascii="Arial" w:hAnsi="Arial" w:eastAsia="等线" w:cs="Arial"/>
          <w:sz w:val="22"/>
          <w:lang w:val="en-US" w:eastAsia="zh-CN"/>
        </w:rPr>
        <w:t>建设发展</w:t>
      </w:r>
      <w:r>
        <w:rPr>
          <w:rFonts w:ascii="Arial" w:hAnsi="Arial" w:eastAsia="等线" w:cs="Arial"/>
          <w:sz w:val="22"/>
        </w:rPr>
        <w:t>规划编制工作。</w:t>
      </w:r>
    </w:p>
    <w:p w14:paraId="2087AD04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. 服务原则：本次推介坚持</w:t>
      </w:r>
      <w:r>
        <w:rPr>
          <w:rFonts w:ascii="Arial" w:hAnsi="Arial" w:eastAsia="等线" w:cs="Arial"/>
          <w:b/>
          <w:sz w:val="22"/>
        </w:rPr>
        <w:t>公开、公平、公正、阳光透明、择优遴选</w:t>
      </w:r>
      <w:r>
        <w:rPr>
          <w:rFonts w:ascii="Arial" w:hAnsi="Arial" w:eastAsia="等线" w:cs="Arial"/>
          <w:sz w:val="22"/>
        </w:rPr>
        <w:t>原则，严格遵循合规性、前瞻性、落地性、实用性原则，杜绝虚假方案、套模板规划，确保规划贴合医院实际、适配行业发展趋势、可落地实施、可量化考核。</w:t>
      </w:r>
    </w:p>
    <w:p w14:paraId="04237229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二、服务商准入资质要求</w:t>
      </w:r>
      <w:bookmarkEnd w:id="1"/>
    </w:p>
    <w:p w14:paraId="2797CB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所有参与推介的第三方设计公司须满足以下全部准入条件，资质不全、弄虚作假直接取消参选资格：</w:t>
      </w:r>
    </w:p>
    <w:p w14:paraId="5AA098A7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（一）基础资质</w:t>
      </w:r>
      <w:bookmarkEnd w:id="2"/>
    </w:p>
    <w:p w14:paraId="2EC1B2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具备独立法人资格，持有有效的营业执照，经营范围包含医疗信息化咨询、智慧医院规划设计、数字化建设方案编制等相关业务，无经营异常、无重大违法失信记录。</w:t>
      </w:r>
    </w:p>
    <w:p w14:paraId="17ED21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具备国家认可的信息系统咨询服务资质、数字化规划编制相关资质，拥有完善的项目服务体系、质量管控体系。</w:t>
      </w:r>
    </w:p>
    <w:p w14:paraId="53ED01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未被列入政府采购严重违法失信名单、信用中国失信主体名单、行业黑名单，提供近三年无不良执业记录承诺函。</w:t>
      </w:r>
    </w:p>
    <w:p w14:paraId="6C1BCA52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（二）行业经验资质</w:t>
      </w:r>
      <w:bookmarkEnd w:id="3"/>
    </w:p>
    <w:p w14:paraId="174A1A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近3年内具备</w:t>
      </w:r>
      <w:r>
        <w:rPr>
          <w:rFonts w:ascii="Arial" w:hAnsi="Arial" w:eastAsia="等线" w:cs="Arial"/>
          <w:b/>
          <w:sz w:val="22"/>
        </w:rPr>
        <w:t>三级医院及以上智慧医院、数智医院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总体</w:t>
      </w:r>
      <w:r>
        <w:rPr>
          <w:rFonts w:ascii="Arial" w:hAnsi="Arial" w:eastAsia="等线" w:cs="Arial"/>
          <w:b/>
          <w:sz w:val="22"/>
        </w:rPr>
        <w:t>规划编制成功案例</w:t>
      </w:r>
      <w:r>
        <w:rPr>
          <w:rFonts w:ascii="Arial" w:hAnsi="Arial" w:eastAsia="等线" w:cs="Arial"/>
          <w:sz w:val="22"/>
        </w:rPr>
        <w:t>不少于</w:t>
      </w: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例，提供合同复印件、验收证明、成果文件等佐证材料。</w:t>
      </w:r>
    </w:p>
    <w:p w14:paraId="578609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熟悉国家及地方智慧医院建设标准、电子病历分级评价、医院互联互通测评、医疗数据安全、信创适配、医疗AI应用等最新行业政策与评测体系，熟练掌握数智医院建设全维度规划逻辑。</w:t>
      </w:r>
    </w:p>
    <w:p w14:paraId="47835D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具备医疗信息化全链条咨询能力，可覆盖数据治理、智慧诊疗、智慧服务、智慧管理、网络安全、信创改造、运营数字化、科研智能化等全领域规划设计经验。</w:t>
      </w:r>
    </w:p>
    <w:p w14:paraId="0B9D644C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（三）团队配置要求</w:t>
      </w:r>
      <w:bookmarkEnd w:id="4"/>
    </w:p>
    <w:p w14:paraId="73A92F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项目专属团队不少于5人，配备专属项目负责人1名、医疗数字化专家、数据治理专家、网络安全专家、医院运营管理顾问各1名，全程驻场对接服务。</w:t>
      </w:r>
    </w:p>
    <w:p w14:paraId="24D790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项目负责人需具备5年及以上医院数字化顶层规划经验，主导过至少</w:t>
      </w: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家三级医院</w:t>
      </w:r>
      <w:r>
        <w:rPr>
          <w:rFonts w:hint="eastAsia" w:ascii="Arial" w:hAnsi="Arial" w:eastAsia="等线" w:cs="Arial"/>
          <w:sz w:val="22"/>
          <w:lang w:val="en-US" w:eastAsia="zh-CN"/>
        </w:rPr>
        <w:t>数字化</w:t>
      </w:r>
      <w:r>
        <w:rPr>
          <w:rFonts w:ascii="Arial" w:hAnsi="Arial" w:eastAsia="等线" w:cs="Arial"/>
          <w:sz w:val="22"/>
        </w:rPr>
        <w:t>规划编制项目，无项目中途更换负责人情况。</w:t>
      </w:r>
    </w:p>
    <w:p w14:paraId="3D9BA4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团队成员需熟悉公立医院运营模式、医疗业务流程、医疗数据标准，具备政策解读、现状研判、方案落地、项目落地指导能力。</w:t>
      </w:r>
    </w:p>
    <w:p w14:paraId="41B220E8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三、规划编制核心服务内容参数</w:t>
      </w:r>
      <w:bookmarkEnd w:id="5"/>
    </w:p>
    <w:p w14:paraId="15D7F9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服务商需结合本院实际，对标国家数字医疗发展新趋势、新质生产力赋能医疗行业要求，完成全方位、立体化、可落地的专项规划编制，核心内容需包含以下九大模块，缺一不可：</w:t>
      </w:r>
    </w:p>
    <w:p w14:paraId="32563D81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（一）现状调研与问题研判</w:t>
      </w:r>
      <w:bookmarkEnd w:id="6"/>
    </w:p>
    <w:p w14:paraId="167C0C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面摸排医院现有信息化系统（HIS、LIS、PACS、EMR、OA、运营系统等）建设现状、数据互联互通情况、硬件基础设施、网络安全体系、人员配置、数字化应用场景；梳理现存信息孤岛、流程短板、数据治理漏洞、智能化应用不足、安全合规隐患等核心问题，形成精准的现状诊断报告、痛点问题清单、短板差距分析。</w:t>
      </w:r>
    </w:p>
    <w:p w14:paraId="07580180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（二）政策对标与趋势研判</w:t>
      </w:r>
      <w:bookmarkEnd w:id="7"/>
    </w:p>
    <w:p w14:paraId="0E0333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深度解读国家、</w:t>
      </w:r>
      <w:r>
        <w:rPr>
          <w:rFonts w:hint="eastAsia" w:ascii="Arial" w:hAnsi="Arial" w:eastAsia="等线" w:cs="Arial"/>
          <w:sz w:val="22"/>
          <w:lang w:val="en-US" w:eastAsia="zh-CN"/>
        </w:rPr>
        <w:t>重庆</w:t>
      </w:r>
      <w:r>
        <w:rPr>
          <w:rFonts w:ascii="Arial" w:hAnsi="Arial" w:eastAsia="等线" w:cs="Arial"/>
          <w:sz w:val="22"/>
        </w:rPr>
        <w:t>市“数字健康、智慧医疗、医疗卫生信息化、数据要素市场化、网络安全、信创建设等相关政策文件，结合行业AI大模型、大数据、5G、物联网、云计算等新技术在医疗领域的应用趋势，对标三级医院数智化建设最高标准、行业标杆医院建设经验，明确本院数智化转型发展定位。</w:t>
      </w:r>
    </w:p>
    <w:p w14:paraId="5B9C0FA7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（三）总体发展战略与建设目标</w:t>
      </w:r>
      <w:bookmarkEnd w:id="8"/>
    </w:p>
    <w:p w14:paraId="494B1D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明确医院数智化建设总体思路、发展定位、核心原则、总体架构。</w:t>
      </w:r>
    </w:p>
    <w:p w14:paraId="604FB0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制定分阶段建设目标（短期落地目标、中期提升目标、长期标杆目标），细化智慧诊疗、智慧服务、智慧管理、数据治理、网络安全、基础设施、科研教学数字化、信创适配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人工智能+等新技术九</w:t>
      </w:r>
      <w:r>
        <w:rPr>
          <w:rFonts w:ascii="Arial" w:hAnsi="Arial" w:eastAsia="等线" w:cs="Arial"/>
          <w:sz w:val="22"/>
        </w:rPr>
        <w:t>大维度量化考核指标，所有指标需可量化、可考核、可落地。</w:t>
      </w:r>
    </w:p>
    <w:p w14:paraId="6F56C06F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（四）重点专项规划编制</w:t>
      </w:r>
      <w:bookmarkEnd w:id="9"/>
    </w:p>
    <w:p w14:paraId="36544C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需编制八大专项子规划，形成“1+</w:t>
      </w:r>
      <w:r>
        <w:rPr>
          <w:rFonts w:hint="eastAsia" w:ascii="Arial" w:hAnsi="Arial" w:eastAsia="等线" w:cs="Arial"/>
          <w:sz w:val="22"/>
          <w:lang w:val="en-US" w:eastAsia="zh-CN"/>
        </w:rPr>
        <w:t>9</w:t>
      </w:r>
      <w:r>
        <w:rPr>
          <w:rFonts w:ascii="Arial" w:hAnsi="Arial" w:eastAsia="等线" w:cs="Arial"/>
          <w:sz w:val="22"/>
        </w:rPr>
        <w:t>”完整规划体系：</w:t>
      </w:r>
    </w:p>
    <w:p w14:paraId="4E8EDE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全域数据治理专项规划：包含数据标准统一、数据归集、数据清洗、数据共享、数据脱敏、数据要素应用、数据质量管控体系建设；</w:t>
      </w:r>
    </w:p>
    <w:p w14:paraId="560E53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智慧临床诊疗专项规划：覆盖AI辅助诊断、智能病历质控、临床决策支持、智慧检验检查、手术智能赋能等场景建设；</w:t>
      </w:r>
    </w:p>
    <w:p w14:paraId="0E71F5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智慧便民服务专项规划：聚焦患者就医流程优化、线上服务升级、全流程智慧就医、医患智能交互体系建设；</w:t>
      </w:r>
    </w:p>
    <w:p w14:paraId="243D23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智慧运营管理专项规划：涵盖人事、财务、物资、耗材、设备、能耗、绩效精细化数字化管理；</w:t>
      </w:r>
    </w:p>
    <w:p w14:paraId="4C5994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基础设施与信创升级专项规划：包含机房、网络、服务器、存储等硬件迭代，国产化系统适配、信创改造整体方案；</w:t>
      </w:r>
    </w:p>
    <w:p w14:paraId="290F3E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网络与数据安全专项规划：构建等保2.0合规、数据分级分类、隐私保护、安全运维、应急处置全流程安全体系；</w:t>
      </w:r>
    </w:p>
    <w:p w14:paraId="256291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7. 科研教学数字化专项规划：搭建智慧科研、线上教学、病例科研转化、学科数据赋能平台；</w:t>
      </w:r>
    </w:p>
    <w:p w14:paraId="3A23B12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8. 数字化人才培养与机制建设专项规划：制定人才引育、岗位配置、考核激励、常态化运维机制。</w:t>
      </w:r>
    </w:p>
    <w:p w14:paraId="1A85036F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9.人工智能+与元宇宙等新技术转型规划：制定人工智能+、元宇宙等新技术赋能医教研学等方案。</w:t>
      </w:r>
    </w:p>
    <w:p w14:paraId="4882DB7F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（五）分期实施计划</w:t>
      </w:r>
      <w:bookmarkEnd w:id="10"/>
    </w:p>
    <w:p w14:paraId="1B350F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将</w:t>
      </w:r>
      <w:r>
        <w:rPr>
          <w:rFonts w:hint="eastAsia" w:ascii="Arial" w:hAnsi="Arial" w:eastAsia="等线" w:cs="Arial"/>
          <w:sz w:val="22"/>
          <w:lang w:val="en-US" w:eastAsia="zh-CN"/>
        </w:rPr>
        <w:t>总</w:t>
      </w:r>
      <w:bookmarkStart w:id="17" w:name="_GoBack"/>
      <w:bookmarkEnd w:id="17"/>
      <w:r>
        <w:rPr>
          <w:rFonts w:ascii="Arial" w:hAnsi="Arial" w:eastAsia="等线" w:cs="Arial"/>
          <w:sz w:val="22"/>
        </w:rPr>
        <w:t>规划拆解为年度实施计划，明确每一年度建设重点、实施内容、落地场景、建设周期、责任模块、预期成效，区分重点攻坚项目、常规升级项目、创新试点项目，形成清晰的项目推进时间表。</w:t>
      </w:r>
    </w:p>
    <w:p w14:paraId="3C96B646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（六）投资概算与效益分析</w:t>
      </w:r>
      <w:bookmarkEnd w:id="11"/>
    </w:p>
    <w:p w14:paraId="6D4E2C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规划建设内容，科学、精准、细化编制整体投资概算，分专项、分年度列明设备采购、系统建设、服务运维、人才培训等费用，杜绝虚高报价、笼统概算；同时完成社会效益、管理效益、医疗质量提升效益、成本管控效益、科研赋能效益全方位分析。</w:t>
      </w:r>
    </w:p>
    <w:p w14:paraId="691EECB0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（七）风险评估与防控方案</w:t>
      </w:r>
      <w:bookmarkEnd w:id="12"/>
    </w:p>
    <w:p w14:paraId="60BEF1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全面研判规划实施过程中的技术风险、资金风险、落地风险、数据安全风险、人员适配风险、政策变动风险，制定针对性、可落地的风险防控措施、应急预案、动态调整机制。</w:t>
      </w:r>
    </w:p>
    <w:p w14:paraId="574E3EE3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（八）保障措施体系</w:t>
      </w:r>
      <w:bookmarkEnd w:id="13"/>
    </w:p>
    <w:p w14:paraId="08224A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从组织领导、制度建设、资金保障、人才保障、技术保障、考核督导、联动机制等方面，制定完善的规划落地保障体系，确保规划可落地、可推进、可验收。</w:t>
      </w:r>
    </w:p>
    <w:p w14:paraId="0191A160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（九）成果优化与评审配合</w:t>
      </w:r>
      <w:bookmarkEnd w:id="14"/>
    </w:p>
    <w:p w14:paraId="70E2A3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全程配合院内多轮研讨、评审、整改优化，配合上级主管部门调研、审核、备案，根据政策更新、医院发展调整需求无偿修改完善规划成果，直至最终定稿备案。</w:t>
      </w:r>
    </w:p>
    <w:p w14:paraId="23D32A72">
      <w:pPr>
        <w:spacing w:before="320" w:after="120" w:line="288" w:lineRule="auto"/>
        <w:ind w:left="0"/>
        <w:jc w:val="left"/>
        <w:outlineLvl w:val="1"/>
      </w:pPr>
      <w:bookmarkStart w:id="15" w:name="heading_15"/>
      <w:r>
        <w:rPr>
          <w:rFonts w:ascii="Arial" w:hAnsi="Arial" w:eastAsia="等线" w:cs="Arial"/>
          <w:b/>
          <w:sz w:val="32"/>
        </w:rPr>
        <w:t>四、成果交付参数要求</w:t>
      </w:r>
      <w:bookmarkEnd w:id="15"/>
    </w:p>
    <w:p w14:paraId="2B90AD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服务商需交付完整、规范、可直接用于院内实施、上级报备的全套成果资料，所有成果需原创定制，禁止通用模板套用：</w:t>
      </w:r>
    </w:p>
    <w:p w14:paraId="10BB57D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</w:t>
      </w:r>
      <w:r>
        <w:rPr>
          <w:rFonts w:ascii="Arial" w:hAnsi="Arial" w:eastAsia="等线" w:cs="Arial"/>
          <w:sz w:val="22"/>
        </w:rPr>
        <w:t>. 电子成果文件：可编辑Word版、PDF定稿版、高清架构图、数据图表、汇报PPT全套资料；</w:t>
      </w:r>
    </w:p>
    <w:p w14:paraId="56B1E73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. 配套支撑材料：现状调研报告、问题研判清单、政策对标文件、项目概算明细表、风险防控手册；</w:t>
      </w:r>
    </w:p>
    <w:p w14:paraId="095359C4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. 汇报服务：提供不少于3次院内专题汇报服务，按需提供上级部门汇报支撑服务。</w:t>
      </w:r>
    </w:p>
    <w:p w14:paraId="1B344C1F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五、服务保障与售后要求</w:t>
      </w:r>
      <w:bookmarkEnd w:id="16"/>
    </w:p>
    <w:p w14:paraId="4B9C6FB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专属对接服务：项目周期内安排专人全程对接，7×24小时响应院内咨询、修改需求，3个工作日内完成常规修改优化。</w:t>
      </w:r>
    </w:p>
    <w:p w14:paraId="2E0050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免费维保服务：规划定稿后提供</w:t>
      </w:r>
      <w:r>
        <w:rPr>
          <w:rFonts w:ascii="Arial" w:hAnsi="Arial" w:eastAsia="等线" w:cs="Arial"/>
          <w:b/>
          <w:sz w:val="22"/>
        </w:rPr>
        <w:t>2年免费售后优化服务</w:t>
      </w:r>
      <w:r>
        <w:rPr>
          <w:rFonts w:ascii="Arial" w:hAnsi="Arial" w:eastAsia="等线" w:cs="Arial"/>
          <w:sz w:val="22"/>
        </w:rPr>
        <w:t>，期间遇政策更新、医院发展调整，无偿微调规划内容、补充配套方案。</w:t>
      </w:r>
    </w:p>
    <w:p w14:paraId="61ACF2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落地指导服务：规划实施初期，免费提供年度落地工作指导、项目申报指导、数字化建设答疑支撑服务。</w:t>
      </w:r>
    </w:p>
    <w:p w14:paraId="567FA8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合规保密服务：签订专属保密协议，对医院所有业务数据、调研资料、规划成果严格保密，严禁外泄、商用，承担终身保密责任。</w:t>
      </w:r>
    </w:p>
    <w:p w14:paraId="139F1F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原创合规承诺：所有规划内容为原创定制，无抄袭、无模板套用、无知识产权纠纷，若出现违规问题，承担全部责任。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B1BD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E9C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D41811"/>
    <w:rsid w:val="3E1A1F00"/>
    <w:rsid w:val="6AC10D43"/>
    <w:rsid w:val="793318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2974</Words>
  <Characters>3051</Characters>
  <TotalTime>15</TotalTime>
  <ScaleCrop>false</ScaleCrop>
  <LinksUpToDate>false</LinksUpToDate>
  <CharactersWithSpaces>3081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2026-08-21T00:14:00Z</dcterms:created>
  <dc:creator>Apache POI</dc:creator>
  <cp:lastModifiedBy>王浩</cp:lastModifiedBy>
  <dcterms:modified xsi:type="dcterms:W3CDTF">2026-08-21T07:39:31Z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{"Label":"1","ContentProducer":"001191110102MACQD9K64010000","ProduceID":"7676271626681650152","ReservedCode1":"","ContentPropagator":"","PropagateID":"","ReservedCode2":""}</vt:lpwstr>
  </property>
  <property fmtid="{D5CDD505-2E9C-101B-9397-08002B2CF9AE}" pid="3" name="KSOTemplateDocerSaveRecord">
    <vt:lpwstr>eyJoZGlkIjoiYTNlOTVjYWUwNzYzYmM1NjI0Zjc2ZTM4ZTUwZTNmZGUiLCJ1c2VySWQiOiI0NDI4NjAzNjcifQ==</vt:lpwstr>
  </property>
  <property fmtid="{D5CDD505-2E9C-101B-9397-08002B2CF9AE}" pid="4" name="KSOProductBuildVer">
    <vt:lpwstr>2052-12.1.0.28043</vt:lpwstr>
  </property>
  <property fmtid="{D5CDD505-2E9C-101B-9397-08002B2CF9AE}" pid="5" name="ICV">
    <vt:lpwstr>8AA06EEA4520428F9F254C19005E2464_13</vt:lpwstr>
  </property>
</Properties>
</file>