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9BA32">
      <w:pPr>
        <w:spacing w:after="240"/>
        <w:jc w:val="center"/>
      </w:pPr>
      <w:r>
        <w:rPr>
          <w:rFonts w:ascii="黑体" w:hAnsi="黑体" w:eastAsia="黑体"/>
          <w:b/>
          <w:sz w:val="36"/>
        </w:rPr>
        <w:t>重庆医科大学附属第二医院</w:t>
      </w:r>
    </w:p>
    <w:p w14:paraId="2D883A00">
      <w:pPr>
        <w:spacing w:after="240"/>
        <w:jc w:val="center"/>
      </w:pPr>
      <w:r>
        <w:rPr>
          <w:rFonts w:ascii="黑体" w:hAnsi="黑体" w:eastAsia="黑体"/>
          <w:b/>
          <w:sz w:val="36"/>
        </w:rPr>
        <w:t>多中心</w:t>
      </w:r>
      <w:r>
        <w:rPr>
          <w:rFonts w:hint="eastAsia" w:ascii="黑体" w:hAnsi="黑体" w:eastAsia="黑体"/>
          <w:b/>
          <w:sz w:val="36"/>
          <w:lang w:val="en-US" w:eastAsia="zh-CN"/>
        </w:rPr>
        <w:t>数据协作</w:t>
      </w:r>
      <w:r>
        <w:rPr>
          <w:rFonts w:ascii="黑体" w:hAnsi="黑体" w:eastAsia="黑体"/>
          <w:b/>
          <w:sz w:val="36"/>
        </w:rPr>
        <w:t>平台</w:t>
      </w:r>
      <w:r>
        <w:rPr>
          <w:rFonts w:hint="eastAsia" w:ascii="黑体" w:hAnsi="黑体" w:eastAsia="黑体"/>
          <w:b/>
          <w:sz w:val="36"/>
          <w:lang w:val="en-US" w:eastAsia="zh-CN"/>
        </w:rPr>
        <w:t>功能</w:t>
      </w:r>
      <w:r>
        <w:rPr>
          <w:rFonts w:ascii="黑体" w:hAnsi="黑体" w:eastAsia="黑体"/>
          <w:b/>
          <w:sz w:val="36"/>
        </w:rPr>
        <w:t>需求</w:t>
      </w:r>
    </w:p>
    <w:p w14:paraId="5AF5CE14">
      <w:pPr>
        <w:spacing w:line="360" w:lineRule="auto"/>
        <w:ind w:firstLine="480"/>
        <w:rPr>
          <w:rFonts w:hint="eastAsia" w:ascii="宋体" w:hAnsi="宋体" w:eastAsia="宋体"/>
          <w:sz w:val="24"/>
          <w:szCs w:val="24"/>
          <w:lang w:val="en-US" w:eastAsia="zh-CN"/>
        </w:rPr>
      </w:pPr>
      <w:r>
        <w:rPr>
          <w:rFonts w:hint="eastAsia" w:ascii="宋体" w:hAnsi="宋体" w:eastAsia="宋体"/>
          <w:sz w:val="24"/>
          <w:szCs w:val="24"/>
        </w:rPr>
        <w:t>随着多中心临床研究协作、专病队列建设及高质量数据集生产等业务对跨机构数据协作的需求日益迫切，我院拟建设多中心数据协作平台，以解决</w:t>
      </w:r>
      <w:r>
        <w:rPr>
          <w:rFonts w:hint="eastAsia"/>
          <w:sz w:val="24"/>
          <w:szCs w:val="24"/>
          <w:lang w:val="en-US" w:eastAsia="zh-CN"/>
        </w:rPr>
        <w:t>多源</w:t>
      </w:r>
      <w:r>
        <w:rPr>
          <w:rFonts w:hint="eastAsia" w:ascii="宋体" w:hAnsi="宋体" w:eastAsia="宋体"/>
          <w:sz w:val="24"/>
          <w:szCs w:val="24"/>
        </w:rPr>
        <w:t>数据标准不统一</w:t>
      </w:r>
      <w:r>
        <w:rPr>
          <w:rFonts w:hint="eastAsia"/>
          <w:sz w:val="24"/>
          <w:szCs w:val="24"/>
          <w:lang w:eastAsia="zh-CN"/>
        </w:rPr>
        <w:t>、</w:t>
      </w:r>
      <w:r>
        <w:rPr>
          <w:rFonts w:hint="eastAsia"/>
          <w:sz w:val="24"/>
          <w:szCs w:val="24"/>
          <w:lang w:val="en-US" w:eastAsia="zh-CN"/>
        </w:rPr>
        <w:t>安全</w:t>
      </w:r>
      <w:r>
        <w:rPr>
          <w:rFonts w:hint="eastAsia" w:ascii="宋体" w:hAnsi="宋体" w:eastAsia="宋体"/>
          <w:sz w:val="24"/>
          <w:szCs w:val="24"/>
        </w:rPr>
        <w:t>共享机制缺失等现实瓶颈，支撑科研协作、联合分析及数据资产沉淀等多场景应用。现面向厂商开展阳光推介调研，了解当前技术能力、行业实践及合理价格水平</w:t>
      </w:r>
      <w:r>
        <w:rPr>
          <w:rFonts w:hint="eastAsia"/>
          <w:sz w:val="24"/>
          <w:szCs w:val="24"/>
          <w:lang w:val="en-US" w:eastAsia="zh-CN"/>
        </w:rPr>
        <w:t>等</w:t>
      </w:r>
      <w:bookmarkStart w:id="0" w:name="_GoBack"/>
      <w:bookmarkEnd w:id="0"/>
      <w:r>
        <w:rPr>
          <w:rFonts w:hint="eastAsia"/>
          <w:sz w:val="24"/>
          <w:szCs w:val="24"/>
          <w:lang w:eastAsia="zh-CN"/>
        </w:rPr>
        <w:t>，为后续采购工作提供参考依据</w:t>
      </w:r>
      <w:r>
        <w:rPr>
          <w:rFonts w:hint="eastAsia" w:ascii="宋体" w:hAnsi="宋体" w:eastAsia="宋体"/>
          <w:sz w:val="24"/>
          <w:szCs w:val="24"/>
        </w:rPr>
        <w:t>。平台核心功能需求如下</w:t>
      </w:r>
      <w:r>
        <w:rPr>
          <w:rFonts w:hint="eastAsia"/>
          <w:sz w:val="24"/>
          <w:szCs w:val="24"/>
          <w:lang w:eastAsia="zh-CN"/>
        </w:rPr>
        <w:t>：</w:t>
      </w:r>
    </w:p>
    <w:p w14:paraId="5A497ED5">
      <w:pPr>
        <w:spacing w:before="160" w:after="80"/>
        <w:rPr>
          <w:sz w:val="24"/>
          <w:szCs w:val="24"/>
        </w:rPr>
      </w:pPr>
      <w:r>
        <w:rPr>
          <w:rFonts w:hint="eastAsia" w:ascii="黑体" w:hAnsi="黑体" w:eastAsia="黑体"/>
          <w:b/>
          <w:sz w:val="24"/>
          <w:szCs w:val="24"/>
          <w:lang w:val="en-US" w:eastAsia="zh-CN"/>
        </w:rPr>
        <w:t>1.</w:t>
      </w:r>
      <w:r>
        <w:rPr>
          <w:rFonts w:ascii="黑体" w:hAnsi="黑体" w:eastAsia="黑体"/>
          <w:b/>
          <w:sz w:val="24"/>
          <w:szCs w:val="24"/>
        </w:rPr>
        <w:t>统一门户与身份权限管理</w:t>
      </w:r>
    </w:p>
    <w:p w14:paraId="394CF54D">
      <w:pPr>
        <w:spacing w:line="360" w:lineRule="auto"/>
        <w:ind w:firstLine="480"/>
        <w:rPr>
          <w:sz w:val="24"/>
          <w:szCs w:val="24"/>
        </w:rPr>
      </w:pPr>
      <w:r>
        <w:rPr>
          <w:rFonts w:ascii="宋体" w:hAnsi="宋体" w:eastAsia="宋体"/>
          <w:sz w:val="24"/>
          <w:szCs w:val="24"/>
        </w:rPr>
        <w:t>支持</w:t>
      </w:r>
      <w:r>
        <w:rPr>
          <w:rFonts w:hint="eastAsia"/>
          <w:sz w:val="24"/>
          <w:szCs w:val="24"/>
          <w:lang w:val="en-US" w:eastAsia="zh-CN"/>
        </w:rPr>
        <w:t>用户在线填写信息注册账号，管理员按需分配权限，</w:t>
      </w:r>
      <w:r>
        <w:rPr>
          <w:rFonts w:ascii="宋体" w:hAnsi="宋体" w:eastAsia="宋体"/>
          <w:sz w:val="24"/>
          <w:szCs w:val="24"/>
        </w:rPr>
        <w:t>登录后</w:t>
      </w:r>
      <w:r>
        <w:rPr>
          <w:rFonts w:hint="eastAsia"/>
          <w:sz w:val="24"/>
          <w:szCs w:val="24"/>
          <w:lang w:val="en-US" w:eastAsia="zh-CN"/>
        </w:rPr>
        <w:t>自动</w:t>
      </w:r>
      <w:r>
        <w:rPr>
          <w:rFonts w:ascii="宋体" w:hAnsi="宋体" w:eastAsia="宋体"/>
          <w:sz w:val="24"/>
          <w:szCs w:val="24"/>
        </w:rPr>
        <w:t>进入对应</w:t>
      </w:r>
      <w:r>
        <w:rPr>
          <w:rFonts w:hint="eastAsia"/>
          <w:sz w:val="24"/>
          <w:szCs w:val="24"/>
          <w:lang w:val="en-US" w:eastAsia="zh-CN"/>
        </w:rPr>
        <w:t>的</w:t>
      </w:r>
      <w:r>
        <w:rPr>
          <w:rFonts w:ascii="宋体" w:hAnsi="宋体" w:eastAsia="宋体"/>
          <w:sz w:val="24"/>
          <w:szCs w:val="24"/>
        </w:rPr>
        <w:t>工作台</w:t>
      </w:r>
      <w:r>
        <w:rPr>
          <w:rFonts w:hint="eastAsia"/>
          <w:sz w:val="24"/>
          <w:szCs w:val="24"/>
          <w:lang w:eastAsia="zh-CN"/>
        </w:rPr>
        <w:t>，</w:t>
      </w:r>
      <w:r>
        <w:rPr>
          <w:rFonts w:hint="eastAsia"/>
          <w:sz w:val="24"/>
          <w:szCs w:val="24"/>
          <w:lang w:val="en-US" w:eastAsia="zh-CN"/>
        </w:rPr>
        <w:t>按</w:t>
      </w:r>
      <w:r>
        <w:rPr>
          <w:rFonts w:ascii="宋体" w:hAnsi="宋体" w:eastAsia="宋体"/>
          <w:sz w:val="24"/>
          <w:szCs w:val="24"/>
        </w:rPr>
        <w:t>联盟</w:t>
      </w:r>
      <w:r>
        <w:rPr>
          <w:rFonts w:hint="eastAsia"/>
          <w:sz w:val="24"/>
          <w:szCs w:val="24"/>
          <w:lang w:eastAsia="zh-CN"/>
        </w:rPr>
        <w:t>、</w:t>
      </w:r>
      <w:r>
        <w:rPr>
          <w:rFonts w:hint="eastAsia"/>
          <w:sz w:val="24"/>
          <w:szCs w:val="24"/>
          <w:lang w:val="en-US" w:eastAsia="zh-CN"/>
        </w:rPr>
        <w:t>中心</w:t>
      </w:r>
      <w:r>
        <w:rPr>
          <w:rFonts w:hint="eastAsia"/>
          <w:sz w:val="24"/>
          <w:szCs w:val="24"/>
          <w:lang w:eastAsia="zh-CN"/>
        </w:rPr>
        <w:t>、</w:t>
      </w:r>
      <w:r>
        <w:rPr>
          <w:rFonts w:ascii="宋体" w:hAnsi="宋体" w:eastAsia="宋体"/>
          <w:sz w:val="24"/>
          <w:szCs w:val="24"/>
        </w:rPr>
        <w:t>项目</w:t>
      </w:r>
      <w:r>
        <w:rPr>
          <w:rFonts w:hint="eastAsia"/>
          <w:sz w:val="24"/>
          <w:szCs w:val="24"/>
          <w:lang w:val="en-US" w:eastAsia="zh-CN"/>
        </w:rPr>
        <w:t>及角色进行权限隔离</w:t>
      </w:r>
      <w:r>
        <w:rPr>
          <w:rFonts w:ascii="宋体" w:hAnsi="宋体" w:eastAsia="宋体"/>
          <w:sz w:val="24"/>
          <w:szCs w:val="24"/>
        </w:rPr>
        <w:t>。支持账号全生命周期线上管理</w:t>
      </w:r>
      <w:r>
        <w:rPr>
          <w:rFonts w:ascii="Segoe UI" w:hAnsi="Segoe UI" w:eastAsia="Segoe UI" w:cs="Segoe UI"/>
          <w:i w:val="0"/>
          <w:iCs w:val="0"/>
          <w:caps w:val="0"/>
          <w:color w:val="0F1115"/>
          <w:spacing w:val="0"/>
          <w:sz w:val="24"/>
          <w:szCs w:val="24"/>
          <w:shd w:val="clear" w:fill="FFFFFF"/>
        </w:rPr>
        <w:t>（创建、启用、冻结、注销）</w:t>
      </w:r>
      <w:r>
        <w:rPr>
          <w:rFonts w:hint="eastAsia"/>
          <w:sz w:val="24"/>
          <w:szCs w:val="24"/>
          <w:lang w:val="en-US" w:eastAsia="zh-CN"/>
        </w:rPr>
        <w:t>，并提供微信公众号、短信等</w:t>
      </w:r>
      <w:r>
        <w:rPr>
          <w:rFonts w:ascii="宋体" w:hAnsi="宋体" w:eastAsia="宋体"/>
          <w:sz w:val="24"/>
          <w:szCs w:val="24"/>
        </w:rPr>
        <w:t>多渠道消息通知。</w:t>
      </w:r>
    </w:p>
    <w:p w14:paraId="0D666289">
      <w:pPr>
        <w:spacing w:before="160" w:after="80"/>
        <w:rPr>
          <w:sz w:val="24"/>
          <w:szCs w:val="24"/>
        </w:rPr>
      </w:pPr>
      <w:r>
        <w:rPr>
          <w:rFonts w:hint="eastAsia" w:ascii="黑体" w:hAnsi="黑体" w:eastAsia="黑体"/>
          <w:b/>
          <w:sz w:val="24"/>
          <w:szCs w:val="24"/>
          <w:lang w:val="en-US" w:eastAsia="zh-CN"/>
        </w:rPr>
        <w:t>2.</w:t>
      </w:r>
      <w:r>
        <w:rPr>
          <w:rFonts w:ascii="黑体" w:hAnsi="黑体" w:eastAsia="黑体"/>
          <w:b/>
          <w:sz w:val="24"/>
          <w:szCs w:val="24"/>
        </w:rPr>
        <w:t>多中心联盟合作机构管理</w:t>
      </w:r>
    </w:p>
    <w:p w14:paraId="77248954">
      <w:pPr>
        <w:spacing w:line="360" w:lineRule="auto"/>
        <w:ind w:firstLine="480"/>
        <w:rPr>
          <w:rFonts w:ascii="宋体" w:hAnsi="宋体" w:eastAsia="宋体"/>
          <w:sz w:val="24"/>
          <w:szCs w:val="24"/>
        </w:rPr>
      </w:pPr>
      <w:r>
        <w:rPr>
          <w:rFonts w:hint="eastAsia"/>
          <w:sz w:val="24"/>
          <w:szCs w:val="24"/>
          <w:lang w:val="en-US" w:eastAsia="zh-CN"/>
        </w:rPr>
        <w:t>支持</w:t>
      </w:r>
      <w:r>
        <w:rPr>
          <w:rFonts w:ascii="宋体" w:hAnsi="宋体" w:eastAsia="宋体"/>
          <w:sz w:val="24"/>
          <w:szCs w:val="24"/>
        </w:rPr>
        <w:t>建设合作机构能力台账，登记各中心数据覆盖病种、数据质量、联邦节点部署情况等</w:t>
      </w:r>
      <w:r>
        <w:rPr>
          <w:rFonts w:hint="eastAsia"/>
          <w:sz w:val="24"/>
          <w:szCs w:val="24"/>
          <w:lang w:val="en-US" w:eastAsia="zh-CN"/>
        </w:rPr>
        <w:t>信息</w:t>
      </w:r>
      <w:r>
        <w:rPr>
          <w:rFonts w:ascii="宋体" w:hAnsi="宋体" w:eastAsia="宋体"/>
          <w:sz w:val="24"/>
          <w:szCs w:val="24"/>
        </w:rPr>
        <w:t>，</w:t>
      </w:r>
      <w:r>
        <w:rPr>
          <w:rFonts w:hint="eastAsia"/>
          <w:sz w:val="24"/>
          <w:szCs w:val="24"/>
          <w:lang w:val="en-US" w:eastAsia="zh-CN"/>
        </w:rPr>
        <w:t>并以</w:t>
      </w:r>
      <w:r>
        <w:rPr>
          <w:rFonts w:ascii="宋体" w:hAnsi="宋体" w:eastAsia="宋体"/>
          <w:sz w:val="24"/>
          <w:szCs w:val="24"/>
        </w:rPr>
        <w:t>可视化展示联盟资源地图。支持</w:t>
      </w:r>
      <w:r>
        <w:rPr>
          <w:rFonts w:hint="eastAsia"/>
          <w:sz w:val="24"/>
          <w:szCs w:val="24"/>
          <w:lang w:val="en-US" w:eastAsia="zh-CN"/>
        </w:rPr>
        <w:t>研究负责人</w:t>
      </w:r>
      <w:r>
        <w:rPr>
          <w:rFonts w:ascii="宋体" w:hAnsi="宋体" w:eastAsia="宋体"/>
          <w:sz w:val="24"/>
          <w:szCs w:val="24"/>
        </w:rPr>
        <w:t>定向邀请各中心</w:t>
      </w:r>
      <w:r>
        <w:rPr>
          <w:rFonts w:hint="eastAsia"/>
          <w:sz w:val="24"/>
          <w:szCs w:val="24"/>
          <w:lang w:val="en-US" w:eastAsia="zh-CN"/>
        </w:rPr>
        <w:t>用户</w:t>
      </w:r>
      <w:r>
        <w:rPr>
          <w:rFonts w:hint="eastAsia"/>
          <w:sz w:val="24"/>
          <w:szCs w:val="24"/>
          <w:lang w:eastAsia="zh-CN"/>
        </w:rPr>
        <w:t>，</w:t>
      </w:r>
      <w:r>
        <w:rPr>
          <w:rFonts w:hint="eastAsia"/>
          <w:sz w:val="24"/>
          <w:szCs w:val="24"/>
          <w:lang w:val="en-US" w:eastAsia="zh-CN"/>
        </w:rPr>
        <w:t>也支持</w:t>
      </w:r>
      <w:r>
        <w:rPr>
          <w:rFonts w:ascii="宋体" w:hAnsi="宋体" w:eastAsia="宋体"/>
          <w:sz w:val="24"/>
          <w:szCs w:val="24"/>
        </w:rPr>
        <w:t>各中心</w:t>
      </w:r>
      <w:r>
        <w:rPr>
          <w:rFonts w:hint="eastAsia"/>
          <w:sz w:val="24"/>
          <w:szCs w:val="24"/>
          <w:lang w:val="en-US" w:eastAsia="zh-CN"/>
        </w:rPr>
        <w:t>用户</w:t>
      </w:r>
      <w:r>
        <w:rPr>
          <w:rFonts w:ascii="宋体" w:hAnsi="宋体" w:eastAsia="宋体"/>
          <w:sz w:val="24"/>
          <w:szCs w:val="24"/>
        </w:rPr>
        <w:t>自主申请</w:t>
      </w:r>
      <w:r>
        <w:rPr>
          <w:rFonts w:hint="eastAsia"/>
          <w:sz w:val="24"/>
          <w:szCs w:val="24"/>
          <w:lang w:val="en-US" w:eastAsia="zh-CN"/>
        </w:rPr>
        <w:t>加入研究</w:t>
      </w:r>
      <w:r>
        <w:rPr>
          <w:rFonts w:ascii="宋体" w:hAnsi="宋体" w:eastAsia="宋体"/>
          <w:sz w:val="24"/>
          <w:szCs w:val="24"/>
        </w:rPr>
        <w:t>。</w:t>
      </w:r>
      <w:r>
        <w:rPr>
          <w:rFonts w:hint="eastAsia"/>
          <w:sz w:val="24"/>
          <w:szCs w:val="24"/>
          <w:lang w:val="en-US" w:eastAsia="zh-CN"/>
        </w:rPr>
        <w:t>内置</w:t>
      </w:r>
      <w:r>
        <w:rPr>
          <w:rFonts w:ascii="宋体" w:hAnsi="宋体" w:eastAsia="宋体"/>
          <w:sz w:val="24"/>
          <w:szCs w:val="24"/>
        </w:rPr>
        <w:t>多中心合作协议、数据使用协议、知识产权协议等标准化模板，</w:t>
      </w:r>
      <w:r>
        <w:rPr>
          <w:rFonts w:hint="eastAsia"/>
          <w:sz w:val="24"/>
          <w:szCs w:val="24"/>
          <w:lang w:val="en-US" w:eastAsia="zh-CN"/>
        </w:rPr>
        <w:t>支持</w:t>
      </w:r>
      <w:r>
        <w:rPr>
          <w:rFonts w:ascii="宋体" w:hAnsi="宋体" w:eastAsia="宋体"/>
          <w:sz w:val="24"/>
          <w:szCs w:val="24"/>
        </w:rPr>
        <w:t>协议与机构、</w:t>
      </w:r>
      <w:r>
        <w:rPr>
          <w:rFonts w:hint="eastAsia"/>
          <w:sz w:val="24"/>
          <w:szCs w:val="24"/>
          <w:lang w:val="en-US" w:eastAsia="zh-CN"/>
        </w:rPr>
        <w:t>项目</w:t>
      </w:r>
      <w:r>
        <w:rPr>
          <w:rFonts w:ascii="宋体" w:hAnsi="宋体" w:eastAsia="宋体"/>
          <w:sz w:val="24"/>
          <w:szCs w:val="24"/>
        </w:rPr>
        <w:t>绑定归档及版本管理。</w:t>
      </w:r>
    </w:p>
    <w:p w14:paraId="39A6D5B0">
      <w:pPr>
        <w:spacing w:line="360" w:lineRule="auto"/>
        <w:rPr>
          <w:sz w:val="24"/>
          <w:szCs w:val="24"/>
        </w:rPr>
      </w:pPr>
      <w:r>
        <w:rPr>
          <w:rFonts w:hint="eastAsia" w:ascii="黑体" w:hAnsi="黑体" w:eastAsia="黑体"/>
          <w:b/>
          <w:sz w:val="24"/>
          <w:szCs w:val="24"/>
          <w:lang w:val="en-US" w:eastAsia="zh-CN"/>
        </w:rPr>
        <w:t>3.</w:t>
      </w:r>
      <w:r>
        <w:rPr>
          <w:rFonts w:ascii="黑体" w:hAnsi="黑体" w:eastAsia="黑体"/>
          <w:b/>
          <w:sz w:val="24"/>
          <w:szCs w:val="24"/>
        </w:rPr>
        <w:t>分布式队列检索</w:t>
      </w:r>
    </w:p>
    <w:p w14:paraId="58E878D6">
      <w:pPr>
        <w:spacing w:line="360" w:lineRule="auto"/>
        <w:ind w:firstLine="480"/>
        <w:rPr>
          <w:sz w:val="24"/>
          <w:szCs w:val="24"/>
        </w:rPr>
      </w:pPr>
      <w:r>
        <w:rPr>
          <w:rFonts w:ascii="宋体" w:hAnsi="宋体" w:eastAsia="宋体"/>
          <w:sz w:val="24"/>
          <w:szCs w:val="24"/>
        </w:rPr>
        <w:t>支持基于诊断、手术操作、用药、检验指标、就诊类型、时间区间、合并症等多条件自由组合的高级病例检索，支持复杂</w:t>
      </w:r>
      <w:r>
        <w:rPr>
          <w:rFonts w:hint="eastAsia"/>
          <w:sz w:val="24"/>
          <w:szCs w:val="24"/>
          <w:lang w:val="en-US" w:eastAsia="zh-CN"/>
        </w:rPr>
        <w:t>逻辑检索</w:t>
      </w:r>
      <w:r>
        <w:rPr>
          <w:rFonts w:ascii="宋体" w:hAnsi="宋体" w:eastAsia="宋体"/>
          <w:sz w:val="24"/>
          <w:szCs w:val="24"/>
        </w:rPr>
        <w:t>与检索模板保存。</w:t>
      </w:r>
      <w:r>
        <w:rPr>
          <w:rFonts w:hint="eastAsia"/>
          <w:sz w:val="24"/>
          <w:szCs w:val="24"/>
          <w:lang w:val="en-US" w:eastAsia="zh-CN"/>
        </w:rPr>
        <w:t>支持</w:t>
      </w:r>
      <w:r>
        <w:rPr>
          <w:rFonts w:ascii="宋体" w:hAnsi="宋体" w:eastAsia="宋体"/>
          <w:sz w:val="24"/>
          <w:szCs w:val="24"/>
        </w:rPr>
        <w:t>多中心分布式匿踪预检索，统一纳排标准下发至各合作中心本地运算，仅返回病例计数</w:t>
      </w:r>
      <w:r>
        <w:rPr>
          <w:rFonts w:hint="eastAsia"/>
          <w:sz w:val="24"/>
          <w:szCs w:val="24"/>
          <w:lang w:val="en-US" w:eastAsia="zh-CN"/>
        </w:rPr>
        <w:t>等相关统计数据</w:t>
      </w:r>
      <w:r>
        <w:rPr>
          <w:rFonts w:ascii="宋体" w:hAnsi="宋体" w:eastAsia="宋体"/>
          <w:sz w:val="24"/>
          <w:szCs w:val="24"/>
        </w:rPr>
        <w:t>而不传输患者明细数据，检索行为全程</w:t>
      </w:r>
      <w:r>
        <w:rPr>
          <w:rFonts w:hint="eastAsia"/>
          <w:sz w:val="24"/>
          <w:szCs w:val="24"/>
          <w:lang w:val="en-US" w:eastAsia="zh-CN"/>
        </w:rPr>
        <w:t>记录</w:t>
      </w:r>
      <w:r>
        <w:rPr>
          <w:rFonts w:ascii="宋体" w:hAnsi="宋体" w:eastAsia="宋体"/>
          <w:sz w:val="24"/>
          <w:szCs w:val="24"/>
        </w:rPr>
        <w:t>。</w:t>
      </w:r>
    </w:p>
    <w:p w14:paraId="06A8202C">
      <w:pPr>
        <w:spacing w:before="160" w:after="80"/>
        <w:rPr>
          <w:sz w:val="24"/>
          <w:szCs w:val="24"/>
        </w:rPr>
      </w:pPr>
      <w:r>
        <w:rPr>
          <w:rFonts w:hint="eastAsia" w:ascii="黑体" w:hAnsi="黑体" w:eastAsia="黑体"/>
          <w:b/>
          <w:sz w:val="24"/>
          <w:szCs w:val="24"/>
          <w:lang w:val="en-US" w:eastAsia="zh-CN"/>
        </w:rPr>
        <w:t>4.</w:t>
      </w:r>
      <w:r>
        <w:rPr>
          <w:rFonts w:ascii="黑体" w:hAnsi="黑体" w:eastAsia="黑体"/>
          <w:b/>
          <w:sz w:val="24"/>
          <w:szCs w:val="24"/>
        </w:rPr>
        <w:t>多中心项目全生命周期管理</w:t>
      </w:r>
    </w:p>
    <w:p w14:paraId="4C400E0C">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rPr>
      </w:pPr>
      <w:r>
        <w:rPr>
          <w:rFonts w:hint="eastAsia" w:ascii="宋体" w:hAnsi="宋体" w:eastAsia="宋体"/>
          <w:sz w:val="24"/>
          <w:szCs w:val="24"/>
        </w:rPr>
        <w:t>支持从立项、进行中、结题到归档的全流程状态流转管理。支持对接院内</w:t>
      </w:r>
      <w:r>
        <w:rPr>
          <w:rFonts w:hint="eastAsia"/>
          <w:sz w:val="24"/>
          <w:szCs w:val="24"/>
          <w:lang w:val="en-US" w:eastAsia="zh-CN"/>
        </w:rPr>
        <w:t>已有系统</w:t>
      </w:r>
      <w:r>
        <w:rPr>
          <w:rFonts w:hint="eastAsia" w:ascii="宋体" w:hAnsi="宋体" w:eastAsia="宋体"/>
          <w:sz w:val="24"/>
          <w:szCs w:val="24"/>
        </w:rPr>
        <w:t>，获取</w:t>
      </w:r>
      <w:r>
        <w:rPr>
          <w:rFonts w:hint="eastAsia"/>
          <w:sz w:val="24"/>
          <w:szCs w:val="24"/>
          <w:lang w:val="en-US" w:eastAsia="zh-CN"/>
        </w:rPr>
        <w:t>项目</w:t>
      </w:r>
      <w:r>
        <w:rPr>
          <w:rFonts w:hint="eastAsia" w:ascii="宋体" w:hAnsi="宋体" w:eastAsia="宋体"/>
          <w:sz w:val="24"/>
          <w:szCs w:val="24"/>
        </w:rPr>
        <w:t>方案、知情同意书模板</w:t>
      </w:r>
      <w:r>
        <w:rPr>
          <w:rFonts w:hint="eastAsia"/>
          <w:sz w:val="24"/>
          <w:szCs w:val="24"/>
          <w:lang w:val="en-US" w:eastAsia="zh-CN"/>
        </w:rPr>
        <w:t>和</w:t>
      </w:r>
      <w:r>
        <w:rPr>
          <w:rFonts w:hint="eastAsia" w:ascii="宋体" w:hAnsi="宋体" w:eastAsia="宋体"/>
          <w:sz w:val="24"/>
          <w:szCs w:val="24"/>
        </w:rPr>
        <w:t>伦理批件等前置材料，实现合规准入。支持随访管理，提供eCRF表单拖拽式搭建工具，支持院内数据自动回填、逻辑跳转、值域范围核查等功能，支持各分中心独立录入各自承担的</w:t>
      </w:r>
      <w:r>
        <w:rPr>
          <w:rFonts w:hint="eastAsia"/>
          <w:sz w:val="24"/>
          <w:szCs w:val="24"/>
          <w:lang w:val="en-US" w:eastAsia="zh-CN"/>
        </w:rPr>
        <w:t>项目</w:t>
      </w:r>
      <w:r>
        <w:rPr>
          <w:rFonts w:hint="eastAsia" w:ascii="宋体" w:hAnsi="宋体" w:eastAsia="宋体"/>
          <w:sz w:val="24"/>
          <w:szCs w:val="24"/>
        </w:rPr>
        <w:t>数据。提供入组进度、数据完整率等实时监控看板。支持</w:t>
      </w:r>
      <w:r>
        <w:rPr>
          <w:rFonts w:hint="eastAsia"/>
          <w:sz w:val="24"/>
          <w:szCs w:val="24"/>
          <w:lang w:val="en-US" w:eastAsia="zh-CN"/>
        </w:rPr>
        <w:t>项目</w:t>
      </w:r>
      <w:r>
        <w:rPr>
          <w:rFonts w:hint="eastAsia" w:ascii="宋体" w:hAnsi="宋体" w:eastAsia="宋体"/>
          <w:sz w:val="24"/>
          <w:szCs w:val="24"/>
        </w:rPr>
        <w:t>成果产出、项目数据合规归档</w:t>
      </w:r>
      <w:r>
        <w:rPr>
          <w:rFonts w:hint="eastAsia"/>
          <w:sz w:val="24"/>
          <w:szCs w:val="24"/>
          <w:lang w:eastAsia="zh-CN"/>
        </w:rPr>
        <w:t>、</w:t>
      </w:r>
      <w:r>
        <w:rPr>
          <w:rFonts w:hint="eastAsia" w:ascii="宋体" w:hAnsi="宋体" w:eastAsia="宋体"/>
          <w:sz w:val="24"/>
          <w:szCs w:val="24"/>
        </w:rPr>
        <w:t>过期数据销毁</w:t>
      </w:r>
      <w:r>
        <w:rPr>
          <w:rFonts w:hint="eastAsia"/>
          <w:sz w:val="24"/>
          <w:szCs w:val="24"/>
          <w:lang w:val="en-US" w:eastAsia="zh-CN"/>
        </w:rPr>
        <w:t>及项目成果登记</w:t>
      </w:r>
      <w:r>
        <w:rPr>
          <w:rFonts w:hint="eastAsia" w:ascii="宋体" w:hAnsi="宋体" w:eastAsia="宋体"/>
          <w:sz w:val="24"/>
          <w:szCs w:val="24"/>
        </w:rPr>
        <w:t>，形成项目管理闭环</w:t>
      </w:r>
      <w:r>
        <w:rPr>
          <w:rFonts w:ascii="宋体" w:hAnsi="宋体" w:eastAsia="宋体"/>
          <w:sz w:val="24"/>
          <w:szCs w:val="24"/>
        </w:rPr>
        <w:t>。</w:t>
      </w:r>
    </w:p>
    <w:p w14:paraId="21C52542">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黑体" w:hAnsi="黑体" w:eastAsia="黑体"/>
          <w:b/>
          <w:sz w:val="24"/>
          <w:szCs w:val="24"/>
          <w:lang w:val="en-US" w:eastAsia="zh-CN"/>
        </w:rPr>
      </w:pPr>
      <w:r>
        <w:rPr>
          <w:rFonts w:hint="eastAsia" w:ascii="黑体" w:hAnsi="黑体" w:eastAsia="黑体"/>
          <w:b/>
          <w:sz w:val="24"/>
          <w:szCs w:val="24"/>
          <w:lang w:val="en-US" w:eastAsia="zh-CN"/>
        </w:rPr>
        <w:t>5.数据采集</w:t>
      </w:r>
    </w:p>
    <w:p w14:paraId="1648DDB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ascii="宋体" w:hAnsi="宋体" w:eastAsia="宋体"/>
          <w:sz w:val="24"/>
          <w:szCs w:val="24"/>
          <w:lang w:val="en-US" w:eastAsia="zh-CN"/>
        </w:rPr>
        <w:t>支持</w:t>
      </w:r>
      <w:r>
        <w:rPr>
          <w:rFonts w:hint="eastAsia"/>
          <w:sz w:val="24"/>
          <w:szCs w:val="24"/>
          <w:lang w:val="en-US" w:eastAsia="zh-CN"/>
        </w:rPr>
        <w:t>在各中心部署前置机，实现院内HIS、EMR、LIS等业务系统数据的自动化采集、清洗与脱敏接入；同时支持人工录入、批量导入等多种方式采集数据。内置数据映射转换能力，支持将多源异构数据标准化统一的数据模型。</w:t>
      </w:r>
    </w:p>
    <w:p w14:paraId="5FBCC091">
      <w:pPr>
        <w:spacing w:before="160" w:after="80"/>
        <w:rPr>
          <w:sz w:val="24"/>
          <w:szCs w:val="24"/>
        </w:rPr>
      </w:pPr>
      <w:r>
        <w:rPr>
          <w:rFonts w:hint="eastAsia" w:ascii="黑体" w:hAnsi="黑体" w:eastAsia="黑体"/>
          <w:b/>
          <w:sz w:val="24"/>
          <w:szCs w:val="24"/>
          <w:lang w:val="en-US" w:eastAsia="zh-CN"/>
        </w:rPr>
        <w:t>6.多中心数据协同分析</w:t>
      </w:r>
    </w:p>
    <w:p w14:paraId="6B5FC514">
      <w:pPr>
        <w:spacing w:line="360" w:lineRule="auto"/>
        <w:ind w:firstLine="480"/>
        <w:rPr>
          <w:rFonts w:ascii="宋体" w:hAnsi="宋体" w:eastAsia="宋体"/>
          <w:sz w:val="24"/>
          <w:szCs w:val="24"/>
        </w:rPr>
      </w:pPr>
      <w:r>
        <w:rPr>
          <w:rFonts w:hint="eastAsia" w:ascii="宋体" w:hAnsi="宋体" w:eastAsia="宋体"/>
          <w:sz w:val="24"/>
          <w:szCs w:val="24"/>
        </w:rPr>
        <w:t>同时支持集中式脱敏汇总和分布式联邦计算两种协作模式，可根据项目实际情况灵活选用，兼顾效率与合规。</w:t>
      </w:r>
      <w:r>
        <w:rPr>
          <w:rFonts w:hint="eastAsia"/>
          <w:sz w:val="24"/>
          <w:szCs w:val="24"/>
          <w:lang w:val="en-US" w:eastAsia="zh-CN"/>
        </w:rPr>
        <w:t>支持</w:t>
      </w:r>
      <w:r>
        <w:rPr>
          <w:rFonts w:hint="eastAsia" w:ascii="宋体" w:hAnsi="宋体" w:eastAsia="宋体"/>
          <w:sz w:val="24"/>
          <w:szCs w:val="24"/>
        </w:rPr>
        <w:t>全链路身份认证与传输加密，满足医疗数据安全法规要求。内置多重隐私保护机制，有效防止基于少量数据反推个体信息，保障患者隐私。支持跨机构数据不汇集的前提下，开展联合统计分析、模型训练</w:t>
      </w:r>
      <w:r>
        <w:rPr>
          <w:rFonts w:hint="eastAsia"/>
          <w:sz w:val="24"/>
          <w:szCs w:val="24"/>
          <w:lang w:val="en-US" w:eastAsia="zh-CN"/>
        </w:rPr>
        <w:t>等</w:t>
      </w:r>
      <w:r>
        <w:rPr>
          <w:rFonts w:hint="eastAsia" w:ascii="宋体" w:hAnsi="宋体" w:eastAsia="宋体"/>
          <w:sz w:val="24"/>
          <w:szCs w:val="24"/>
        </w:rPr>
        <w:t>，确保原始数据不出各自网络边界。</w:t>
      </w:r>
      <w:r>
        <w:rPr>
          <w:rFonts w:hint="eastAsia"/>
          <w:sz w:val="24"/>
          <w:szCs w:val="24"/>
          <w:lang w:val="en-US" w:eastAsia="zh-CN"/>
        </w:rPr>
        <w:t>支持</w:t>
      </w:r>
      <w:r>
        <w:rPr>
          <w:rFonts w:hint="eastAsia" w:ascii="宋体" w:hAnsi="宋体" w:eastAsia="宋体"/>
          <w:sz w:val="24"/>
          <w:szCs w:val="24"/>
        </w:rPr>
        <w:t>统一的协同任务调度与进度跟踪，任务完成后自动清理中间数据，确保信息无残留、过程可追溯。</w:t>
      </w:r>
    </w:p>
    <w:p w14:paraId="54260299">
      <w:pPr>
        <w:spacing w:before="160" w:after="80"/>
        <w:rPr>
          <w:sz w:val="24"/>
          <w:szCs w:val="24"/>
        </w:rPr>
      </w:pPr>
      <w:r>
        <w:rPr>
          <w:rFonts w:hint="eastAsia" w:ascii="黑体" w:hAnsi="黑体" w:eastAsia="黑体"/>
          <w:b/>
          <w:sz w:val="24"/>
          <w:szCs w:val="24"/>
          <w:lang w:val="en-US" w:eastAsia="zh-CN"/>
        </w:rPr>
        <w:t>7.</w:t>
      </w:r>
      <w:r>
        <w:rPr>
          <w:rFonts w:ascii="黑体" w:hAnsi="黑体" w:eastAsia="黑体"/>
          <w:b/>
          <w:sz w:val="24"/>
          <w:szCs w:val="24"/>
        </w:rPr>
        <w:t>自助分析与可视化工作台</w:t>
      </w:r>
    </w:p>
    <w:p w14:paraId="6BA731FB">
      <w:pPr>
        <w:spacing w:line="360" w:lineRule="auto"/>
        <w:ind w:firstLine="480"/>
        <w:rPr>
          <w:rFonts w:ascii="宋体" w:hAnsi="宋体" w:eastAsia="宋体"/>
          <w:sz w:val="24"/>
          <w:szCs w:val="24"/>
        </w:rPr>
      </w:pPr>
      <w:r>
        <w:rPr>
          <w:rFonts w:hint="eastAsia" w:ascii="宋体" w:hAnsi="宋体" w:eastAsia="宋体"/>
          <w:sz w:val="24"/>
          <w:szCs w:val="24"/>
        </w:rPr>
        <w:t>面向</w:t>
      </w:r>
      <w:r>
        <w:rPr>
          <w:rFonts w:hint="eastAsia"/>
          <w:sz w:val="24"/>
          <w:szCs w:val="24"/>
          <w:lang w:val="en-US" w:eastAsia="zh-CN"/>
        </w:rPr>
        <w:t>数据探索分析</w:t>
      </w:r>
      <w:r>
        <w:rPr>
          <w:rFonts w:hint="eastAsia" w:ascii="宋体" w:hAnsi="宋体" w:eastAsia="宋体"/>
          <w:sz w:val="24"/>
          <w:szCs w:val="24"/>
        </w:rPr>
        <w:t>全场景，提供零代码与可编程兼备的一站式分析环境。内置</w:t>
      </w:r>
      <w:r>
        <w:rPr>
          <w:rFonts w:hint="eastAsia"/>
          <w:sz w:val="24"/>
          <w:szCs w:val="24"/>
          <w:lang w:val="en-US" w:eastAsia="zh-CN"/>
        </w:rPr>
        <w:t>缺失值填补</w:t>
      </w:r>
      <w:r>
        <w:rPr>
          <w:rFonts w:hint="eastAsia"/>
          <w:sz w:val="24"/>
          <w:szCs w:val="24"/>
          <w:lang w:eastAsia="zh-CN"/>
        </w:rPr>
        <w:t>、</w:t>
      </w:r>
      <w:r>
        <w:rPr>
          <w:rFonts w:hint="eastAsia" w:ascii="宋体" w:hAnsi="宋体" w:eastAsia="宋体"/>
          <w:sz w:val="24"/>
          <w:szCs w:val="24"/>
        </w:rPr>
        <w:t>描述统计、t检验、卡方检验、ROC分析、生存分析及Logistic/Cox回归等经典工具，支持一键生成生存曲线、森林图、热力图等可视化图表。支持R/Python</w:t>
      </w:r>
      <w:r>
        <w:rPr>
          <w:rFonts w:hint="eastAsia"/>
          <w:sz w:val="24"/>
          <w:szCs w:val="24"/>
          <w:lang w:val="en-US" w:eastAsia="zh-CN"/>
        </w:rPr>
        <w:t>等</w:t>
      </w:r>
      <w:r>
        <w:rPr>
          <w:rFonts w:hint="eastAsia" w:ascii="宋体" w:hAnsi="宋体" w:eastAsia="宋体"/>
          <w:sz w:val="24"/>
          <w:szCs w:val="24"/>
        </w:rPr>
        <w:t>脚本在线编写与运行，允许用户将自定义脚本封装为共享工具，便于团队复用与协作；同时支持多工具串联组合，满足复合型研究设计需求。支持历史分析方案的保存与一键复用；在联邦分析场景下，支持将分布式脚本统一下发至各节点运行。图表与结果支持PDF、SVG、PNG、CSV等多格式导出；</w:t>
      </w:r>
      <w:r>
        <w:rPr>
          <w:rFonts w:hint="eastAsia"/>
          <w:sz w:val="24"/>
          <w:szCs w:val="24"/>
          <w:lang w:val="en-US" w:eastAsia="zh-CN"/>
        </w:rPr>
        <w:t>支持</w:t>
      </w:r>
      <w:r>
        <w:rPr>
          <w:rFonts w:hint="eastAsia" w:ascii="宋体" w:hAnsi="宋体" w:eastAsia="宋体"/>
          <w:sz w:val="24"/>
          <w:szCs w:val="24"/>
        </w:rPr>
        <w:t>对接医院OA审批流程，涉及数据导出时自动触发线上审批，全程操作留痕，满足审计要求。</w:t>
      </w:r>
    </w:p>
    <w:p w14:paraId="2A6F6B75">
      <w:pPr>
        <w:spacing w:before="160" w:after="80"/>
        <w:rPr>
          <w:sz w:val="24"/>
          <w:szCs w:val="24"/>
        </w:rPr>
      </w:pPr>
      <w:r>
        <w:rPr>
          <w:rFonts w:hint="eastAsia" w:ascii="黑体" w:hAnsi="黑体" w:eastAsia="黑体"/>
          <w:b/>
          <w:sz w:val="24"/>
          <w:szCs w:val="24"/>
          <w:lang w:val="en-US" w:eastAsia="zh-CN"/>
        </w:rPr>
        <w:t>8.</w:t>
      </w:r>
      <w:r>
        <w:rPr>
          <w:rFonts w:ascii="黑体" w:hAnsi="黑体" w:eastAsia="黑体"/>
          <w:b/>
          <w:sz w:val="24"/>
          <w:szCs w:val="24"/>
        </w:rPr>
        <w:t>数据安全、脱敏与审计体系</w:t>
      </w:r>
    </w:p>
    <w:p w14:paraId="75BD1E36">
      <w:pPr>
        <w:spacing w:line="360" w:lineRule="auto"/>
        <w:ind w:firstLine="480"/>
        <w:rPr>
          <w:sz w:val="24"/>
          <w:szCs w:val="24"/>
        </w:rPr>
      </w:pPr>
      <w:r>
        <w:rPr>
          <w:rFonts w:hint="eastAsia"/>
          <w:sz w:val="24"/>
          <w:szCs w:val="24"/>
          <w:lang w:val="en-US" w:eastAsia="zh-CN"/>
        </w:rPr>
        <w:t>支持</w:t>
      </w:r>
      <w:r>
        <w:rPr>
          <w:rFonts w:ascii="宋体" w:hAnsi="宋体" w:eastAsia="宋体"/>
          <w:sz w:val="24"/>
          <w:szCs w:val="24"/>
        </w:rPr>
        <w:t>识别并脱敏姓名、身份证号、手机号、详细住址等自然人标识，支持屏蔽、</w:t>
      </w:r>
      <w:r>
        <w:rPr>
          <w:rFonts w:hint="eastAsia"/>
          <w:sz w:val="24"/>
          <w:szCs w:val="24"/>
          <w:lang w:val="en-US" w:eastAsia="zh-CN"/>
        </w:rPr>
        <w:t>加密</w:t>
      </w:r>
      <w:r>
        <w:rPr>
          <w:rFonts w:ascii="宋体" w:hAnsi="宋体" w:eastAsia="宋体"/>
          <w:sz w:val="24"/>
          <w:szCs w:val="24"/>
        </w:rPr>
        <w:t>、假名化等多种脱敏策略。实行数据分级管控，区分原始数据、脱敏科研数据集、汇总统计结果，分级配置访问与导出权限。建立不可篡改的全量审计日志，覆盖登录、检索、队列操作、数据分析、数据导出、账号变更等全部行为，满足监管审计要求。</w:t>
      </w:r>
    </w:p>
    <w:p w14:paraId="4D4B938F">
      <w:pPr>
        <w:spacing w:before="160" w:after="80"/>
        <w:rPr>
          <w:sz w:val="24"/>
          <w:szCs w:val="24"/>
        </w:rPr>
      </w:pPr>
      <w:r>
        <w:rPr>
          <w:rFonts w:hint="eastAsia" w:ascii="黑体" w:hAnsi="黑体" w:eastAsia="黑体"/>
          <w:b/>
          <w:sz w:val="24"/>
          <w:szCs w:val="24"/>
          <w:lang w:val="en-US" w:eastAsia="zh-CN"/>
        </w:rPr>
        <w:t>9.</w:t>
      </w:r>
      <w:r>
        <w:rPr>
          <w:rFonts w:ascii="黑体" w:hAnsi="黑体" w:eastAsia="黑体"/>
          <w:b/>
          <w:sz w:val="24"/>
          <w:szCs w:val="24"/>
        </w:rPr>
        <w:t>多中心</w:t>
      </w:r>
      <w:r>
        <w:rPr>
          <w:rFonts w:hint="eastAsia" w:ascii="黑体" w:hAnsi="黑体" w:eastAsia="黑体"/>
          <w:b/>
          <w:sz w:val="24"/>
          <w:szCs w:val="24"/>
          <w:lang w:val="en-US" w:eastAsia="zh-CN"/>
        </w:rPr>
        <w:t>项目</w:t>
      </w:r>
      <w:r>
        <w:rPr>
          <w:rFonts w:ascii="黑体" w:hAnsi="黑体" w:eastAsia="黑体"/>
          <w:b/>
          <w:sz w:val="24"/>
          <w:szCs w:val="24"/>
        </w:rPr>
        <w:t>管理驾驶舱</w:t>
      </w:r>
    </w:p>
    <w:p w14:paraId="52C39E61">
      <w:pPr>
        <w:spacing w:line="360" w:lineRule="auto"/>
        <w:ind w:firstLine="480"/>
        <w:rPr>
          <w:sz w:val="24"/>
          <w:szCs w:val="24"/>
        </w:rPr>
      </w:pPr>
      <w:r>
        <w:rPr>
          <w:rFonts w:hint="eastAsia"/>
          <w:sz w:val="24"/>
          <w:szCs w:val="24"/>
          <w:lang w:val="en-US" w:eastAsia="zh-CN"/>
        </w:rPr>
        <w:t>提供</w:t>
      </w:r>
      <w:r>
        <w:rPr>
          <w:rFonts w:ascii="宋体" w:hAnsi="宋体" w:eastAsia="宋体"/>
          <w:sz w:val="24"/>
          <w:szCs w:val="24"/>
        </w:rPr>
        <w:t>联盟总览可视化大屏，展示合作机构数量、联盟潜在病例规模、在研课题数量、回顾性/前瞻性项目分布等，提供项目进度监控看板，实时展示各分中心入组进度、数据完整率</w:t>
      </w:r>
      <w:r>
        <w:rPr>
          <w:rFonts w:hint="eastAsia"/>
          <w:sz w:val="24"/>
          <w:szCs w:val="24"/>
          <w:lang w:val="en-US" w:eastAsia="zh-CN"/>
        </w:rPr>
        <w:t>及</w:t>
      </w:r>
      <w:r>
        <w:rPr>
          <w:rFonts w:ascii="宋体" w:hAnsi="宋体" w:eastAsia="宋体"/>
          <w:sz w:val="24"/>
          <w:szCs w:val="24"/>
        </w:rPr>
        <w:t>质控问题统计</w:t>
      </w:r>
      <w:r>
        <w:rPr>
          <w:rFonts w:hint="eastAsia"/>
          <w:sz w:val="24"/>
          <w:szCs w:val="24"/>
          <w:lang w:val="en-US" w:eastAsia="zh-CN"/>
        </w:rPr>
        <w:t>等</w:t>
      </w:r>
      <w:r>
        <w:rPr>
          <w:rFonts w:ascii="宋体" w:hAnsi="宋体" w:eastAsia="宋体"/>
          <w:sz w:val="24"/>
          <w:szCs w:val="24"/>
        </w:rPr>
        <w:t>。</w:t>
      </w:r>
      <w:r>
        <w:rPr>
          <w:rFonts w:hint="eastAsia"/>
          <w:sz w:val="24"/>
          <w:szCs w:val="24"/>
          <w:lang w:val="en-US" w:eastAsia="zh-CN"/>
        </w:rPr>
        <w:t>提供</w:t>
      </w:r>
      <w:r>
        <w:rPr>
          <w:rFonts w:ascii="宋体" w:hAnsi="宋体" w:eastAsia="宋体"/>
          <w:sz w:val="24"/>
          <w:szCs w:val="24"/>
        </w:rPr>
        <w:t>数据资产统计看板，呈现各中心病种分布、数据集更新情况及高频疾病排行。</w:t>
      </w:r>
      <w:r>
        <w:rPr>
          <w:rFonts w:hint="eastAsia"/>
          <w:sz w:val="24"/>
          <w:szCs w:val="24"/>
          <w:lang w:val="en-US" w:eastAsia="zh-CN"/>
        </w:rPr>
        <w:t>配套科研成果台账管理功能，支持自定义运营报表导出，满足院级管理与汇报需求</w:t>
      </w:r>
      <w:r>
        <w:rPr>
          <w:rFonts w:ascii="宋体" w:hAnsi="宋体" w:eastAsia="宋体"/>
          <w:sz w:val="24"/>
          <w:szCs w:val="24"/>
        </w:rPr>
        <w:t>。</w:t>
      </w:r>
    </w:p>
    <w:p w14:paraId="099EC909">
      <w:pPr>
        <w:spacing w:before="160" w:after="80"/>
        <w:rPr>
          <w:sz w:val="24"/>
          <w:szCs w:val="24"/>
        </w:rPr>
      </w:pPr>
      <w:r>
        <w:rPr>
          <w:rFonts w:hint="eastAsia" w:ascii="黑体" w:hAnsi="黑体" w:eastAsia="黑体"/>
          <w:b/>
          <w:sz w:val="24"/>
          <w:szCs w:val="24"/>
          <w:lang w:val="en-US" w:eastAsia="zh-CN"/>
        </w:rPr>
        <w:t>10.</w:t>
      </w:r>
      <w:r>
        <w:rPr>
          <w:rFonts w:ascii="黑体" w:hAnsi="黑体" w:eastAsia="黑体"/>
          <w:b/>
          <w:sz w:val="24"/>
          <w:szCs w:val="24"/>
        </w:rPr>
        <w:t>系统集成与数据标准接口</w:t>
      </w:r>
    </w:p>
    <w:p w14:paraId="464C0B78">
      <w:pPr>
        <w:spacing w:line="360" w:lineRule="auto"/>
        <w:ind w:firstLine="480"/>
        <w:rPr>
          <w:sz w:val="24"/>
          <w:szCs w:val="24"/>
        </w:rPr>
      </w:pPr>
      <w:r>
        <w:rPr>
          <w:rFonts w:hint="eastAsia"/>
          <w:sz w:val="24"/>
          <w:szCs w:val="24"/>
          <w:lang w:val="en-US" w:eastAsia="zh-CN"/>
        </w:rPr>
        <w:t>支持对接医院短信平台、OA系统、临床研究管理平台、数据库平台、高质量数据集加工生产平台等平台，实现数据互通与流程协同。</w:t>
      </w:r>
      <w:r>
        <w:rPr>
          <w:rFonts w:ascii="宋体" w:hAnsi="宋体" w:eastAsia="宋体"/>
          <w:sz w:val="24"/>
          <w:szCs w:val="24"/>
        </w:rPr>
        <w:t>支持对接联邦节点及第三方系统，</w:t>
      </w:r>
      <w:r>
        <w:rPr>
          <w:rFonts w:hint="eastAsia"/>
          <w:sz w:val="24"/>
          <w:szCs w:val="24"/>
          <w:lang w:val="en-US" w:eastAsia="zh-CN"/>
        </w:rPr>
        <w:t>对接时统一进行</w:t>
      </w:r>
      <w:r>
        <w:rPr>
          <w:rFonts w:ascii="宋体" w:hAnsi="宋体" w:eastAsia="宋体"/>
          <w:sz w:val="24"/>
          <w:szCs w:val="24"/>
        </w:rPr>
        <w:t>接口鉴权与访问管控。建立统一数据元与术语集版本管理机制，变更记录可追溯。</w:t>
      </w:r>
    </w:p>
    <w:sectPr>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A00002BF" w:usb1="68C7FCFB" w:usb2="00000010" w:usb3="00000000" w:csb0="4002009F" w:csb1="DFD70000"/>
  </w:font>
  <w:font w:name="Cambria">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BD40E7"/>
    <w:rsid w:val="16FE3FF2"/>
    <w:rsid w:val="315415C0"/>
    <w:rsid w:val="351D4748"/>
    <w:rsid w:val="3950297B"/>
    <w:rsid w:val="39AE76A2"/>
    <w:rsid w:val="3A10210A"/>
    <w:rsid w:val="446B68BB"/>
    <w:rsid w:val="454D5FC1"/>
    <w:rsid w:val="48E44E8E"/>
    <w:rsid w:val="493059DD"/>
    <w:rsid w:val="4F005E52"/>
    <w:rsid w:val="55767524"/>
    <w:rsid w:val="56AF0889"/>
    <w:rsid w:val="56B55774"/>
    <w:rsid w:val="59BE7035"/>
    <w:rsid w:val="5A663955"/>
    <w:rsid w:val="5CE37710"/>
    <w:rsid w:val="60BE791B"/>
    <w:rsid w:val="61B44570"/>
    <w:rsid w:val="65BB267B"/>
    <w:rsid w:val="66C33EDD"/>
    <w:rsid w:val="67526E93"/>
    <w:rsid w:val="6AF428B7"/>
    <w:rsid w:val="70622071"/>
    <w:rsid w:val="7EDE76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rPr>
      <w:sz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1814</Words>
  <Characters>1866</Characters>
  <Lines>0</Lines>
  <Paragraphs>0</Paragraphs>
  <TotalTime>34</TotalTime>
  <ScaleCrop>false</ScaleCrop>
  <LinksUpToDate>false</LinksUpToDate>
  <CharactersWithSpaces>1866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白银铃</cp:lastModifiedBy>
  <dcterms:modified xsi:type="dcterms:W3CDTF">2026-08-24T07:41:25Z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eyJoZGlkIjoiYWYxOTFjYzI3OTBhYTRiNzczOTYxMzM0NWJhNTc3MjQiLCJ1c2VySWQiOiIxNzIwMDIyOTEzIn0=</vt:lpwstr>
  </property>
  <property fmtid="{D5CDD505-2E9C-101B-9397-08002B2CF9AE}" pid="3" name="KSOProductBuildVer">
    <vt:lpwstr>2052-12.1.0.28043</vt:lpwstr>
  </property>
  <property fmtid="{D5CDD505-2E9C-101B-9397-08002B2CF9AE}" pid="4" name="ICV">
    <vt:lpwstr>09729519421C48E2A2C8D33D1699285F_12</vt:lpwstr>
  </property>
</Properties>
</file>