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A3FF8">
      <w:pPr>
        <w:ind w:firstLine="0" w:firstLineChars="0"/>
        <w:jc w:val="center"/>
        <w:rPr>
          <w:b/>
          <w:bCs/>
          <w:sz w:val="32"/>
          <w:szCs w:val="32"/>
        </w:rPr>
      </w:pPr>
      <w:r>
        <w:rPr>
          <w:rFonts w:hint="eastAsia"/>
          <w:b/>
          <w:bCs/>
          <w:sz w:val="32"/>
          <w:szCs w:val="32"/>
        </w:rPr>
        <w:t>江南院区安防机房基础环境维护保养服务阳光推介文件</w:t>
      </w:r>
    </w:p>
    <w:tbl>
      <w:tblPr>
        <w:tblStyle w:val="10"/>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63"/>
        <w:gridCol w:w="7130"/>
      </w:tblGrid>
      <w:tr w14:paraId="3DC6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4064CE5B">
            <w:pPr>
              <w:pStyle w:val="17"/>
              <w:ind w:firstLine="0" w:firstLineChars="0"/>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项号</w:t>
            </w:r>
          </w:p>
        </w:tc>
        <w:tc>
          <w:tcPr>
            <w:tcW w:w="1663" w:type="dxa"/>
            <w:vAlign w:val="center"/>
          </w:tcPr>
          <w:p w14:paraId="764D5AE9">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内容</w:t>
            </w:r>
          </w:p>
        </w:tc>
        <w:tc>
          <w:tcPr>
            <w:tcW w:w="7130" w:type="dxa"/>
            <w:vAlign w:val="center"/>
          </w:tcPr>
          <w:p w14:paraId="10A5A564">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说明与要求</w:t>
            </w:r>
          </w:p>
        </w:tc>
      </w:tr>
      <w:tr w14:paraId="5E86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0AEDEFAA">
            <w:pPr>
              <w:pStyle w:val="4"/>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w:t>
            </w:r>
          </w:p>
        </w:tc>
        <w:tc>
          <w:tcPr>
            <w:tcW w:w="1663" w:type="dxa"/>
            <w:vAlign w:val="center"/>
          </w:tcPr>
          <w:p w14:paraId="650FF4D8">
            <w:pPr>
              <w:pStyle w:val="4"/>
              <w:ind w:firstLine="422"/>
              <w:jc w:val="left"/>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项目名称</w:t>
            </w:r>
          </w:p>
        </w:tc>
        <w:tc>
          <w:tcPr>
            <w:tcW w:w="7130" w:type="dxa"/>
            <w:vAlign w:val="center"/>
          </w:tcPr>
          <w:p w14:paraId="3030E321">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江南院区安防机房基础环境维护保养服务阳光推介（非招标）</w:t>
            </w:r>
          </w:p>
        </w:tc>
      </w:tr>
      <w:tr w14:paraId="3D04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55" w:type="dxa"/>
            <w:vAlign w:val="center"/>
          </w:tcPr>
          <w:p w14:paraId="5BD07DF3">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2</w:t>
            </w:r>
          </w:p>
        </w:tc>
        <w:tc>
          <w:tcPr>
            <w:tcW w:w="1663" w:type="dxa"/>
            <w:vAlign w:val="center"/>
          </w:tcPr>
          <w:p w14:paraId="687CC398">
            <w:pPr>
              <w:pStyle w:val="17"/>
              <w:ind w:firstLine="422"/>
              <w:jc w:val="left"/>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项目概况与维保服务期</w:t>
            </w:r>
          </w:p>
        </w:tc>
        <w:tc>
          <w:tcPr>
            <w:tcW w:w="7130" w:type="dxa"/>
            <w:vAlign w:val="center"/>
          </w:tcPr>
          <w:p w14:paraId="156882C7">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1.项目地点：重庆医科大学附属第二医院江南院区 (重庆市南岸区茶园新区天文大道288号) 综合楼二层。</w:t>
            </w:r>
          </w:p>
          <w:p w14:paraId="656DB6A0">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2.维保服务期：3年。</w:t>
            </w:r>
          </w:p>
        </w:tc>
      </w:tr>
      <w:tr w14:paraId="0D88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55" w:type="dxa"/>
            <w:vAlign w:val="center"/>
          </w:tcPr>
          <w:p w14:paraId="5F0118E3">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3</w:t>
            </w:r>
          </w:p>
        </w:tc>
        <w:tc>
          <w:tcPr>
            <w:tcW w:w="1663" w:type="dxa"/>
            <w:vAlign w:val="center"/>
          </w:tcPr>
          <w:p w14:paraId="4824A9B6">
            <w:pPr>
              <w:pStyle w:val="17"/>
              <w:ind w:firstLine="422"/>
              <w:jc w:val="left"/>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推介内容和技术要求</w:t>
            </w:r>
          </w:p>
        </w:tc>
        <w:tc>
          <w:tcPr>
            <w:tcW w:w="7130" w:type="dxa"/>
            <w:vAlign w:val="center"/>
          </w:tcPr>
          <w:p w14:paraId="418F7E83">
            <w:pPr>
              <w:pStyle w:val="17"/>
              <w:numPr>
                <w:ilvl w:val="0"/>
                <w:numId w:val="1"/>
              </w:numPr>
              <w:tabs>
                <w:tab w:val="clear" w:pos="312"/>
              </w:tabs>
              <w:ind w:firstLine="424"/>
              <w:rPr>
                <w:rFonts w:hint="eastAsia" w:asciiTheme="minorEastAsia" w:hAnsiTheme="minorEastAsia" w:eastAsiaTheme="minorEastAsia" w:cstheme="minorEastAsia"/>
                <w:b/>
                <w:szCs w:val="24"/>
              </w:rPr>
            </w:pPr>
            <w:r>
              <w:rPr>
                <w:rFonts w:hint="eastAsia" w:asciiTheme="minorEastAsia" w:hAnsiTheme="minorEastAsia" w:eastAsiaTheme="minorEastAsia" w:cstheme="minorEastAsia"/>
                <w:b/>
                <w:szCs w:val="24"/>
              </w:rPr>
              <w:t>维保范围：</w:t>
            </w:r>
          </w:p>
          <w:p w14:paraId="25C4E82C">
            <w:pPr>
              <w:pStyle w:val="17"/>
              <w:numPr>
                <w:ilvl w:val="0"/>
                <w:numId w:val="0"/>
              </w:numPr>
              <w:rPr>
                <w:rFonts w:hint="eastAsia" w:asciiTheme="minorEastAsia" w:hAnsiTheme="minorEastAsia" w:eastAsiaTheme="minorEastAsia" w:cstheme="minorEastAsia"/>
                <w:b/>
                <w:szCs w:val="24"/>
              </w:rPr>
            </w:pPr>
          </w:p>
          <w:tbl>
            <w:tblPr>
              <w:tblStyle w:val="10"/>
              <w:tblW w:w="5122" w:type="pct"/>
              <w:tblInd w:w="0" w:type="dxa"/>
              <w:tblLayout w:type="fixed"/>
              <w:tblCellMar>
                <w:top w:w="0" w:type="dxa"/>
                <w:left w:w="108" w:type="dxa"/>
                <w:bottom w:w="0" w:type="dxa"/>
                <w:right w:w="108" w:type="dxa"/>
              </w:tblCellMar>
            </w:tblPr>
            <w:tblGrid>
              <w:gridCol w:w="2500"/>
              <w:gridCol w:w="1941"/>
              <w:gridCol w:w="741"/>
              <w:gridCol w:w="831"/>
              <w:gridCol w:w="1070"/>
            </w:tblGrid>
            <w:tr w14:paraId="13B04173">
              <w:tblPrEx>
                <w:tblCellMar>
                  <w:top w:w="0" w:type="dxa"/>
                  <w:left w:w="108" w:type="dxa"/>
                  <w:bottom w:w="0" w:type="dxa"/>
                  <w:right w:w="108" w:type="dxa"/>
                </w:tblCellMar>
              </w:tblPrEx>
              <w:trPr>
                <w:trHeight w:val="504" w:hRule="atLeast"/>
              </w:trPr>
              <w:tc>
                <w:tcPr>
                  <w:tcW w:w="1764" w:type="pct"/>
                  <w:tcBorders>
                    <w:top w:val="single" w:color="auto" w:sz="4" w:space="0"/>
                    <w:left w:val="single" w:color="auto" w:sz="4" w:space="0"/>
                    <w:bottom w:val="single" w:color="auto" w:sz="4" w:space="0"/>
                    <w:right w:val="single" w:color="auto" w:sz="4" w:space="0"/>
                  </w:tcBorders>
                  <w:noWrap/>
                  <w:vAlign w:val="center"/>
                </w:tcPr>
                <w:p w14:paraId="06ACAF2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名称</w:t>
                  </w:r>
                </w:p>
              </w:tc>
              <w:tc>
                <w:tcPr>
                  <w:tcW w:w="1370" w:type="pct"/>
                  <w:tcBorders>
                    <w:top w:val="single" w:color="auto" w:sz="4" w:space="0"/>
                    <w:left w:val="nil"/>
                    <w:bottom w:val="single" w:color="auto" w:sz="4" w:space="0"/>
                    <w:right w:val="single" w:color="auto" w:sz="4" w:space="0"/>
                  </w:tcBorders>
                  <w:noWrap/>
                  <w:vAlign w:val="center"/>
                </w:tcPr>
                <w:p w14:paraId="29C87D48">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型号</w:t>
                  </w:r>
                </w:p>
              </w:tc>
              <w:tc>
                <w:tcPr>
                  <w:tcW w:w="523" w:type="pct"/>
                  <w:tcBorders>
                    <w:top w:val="single" w:color="auto" w:sz="4" w:space="0"/>
                    <w:left w:val="nil"/>
                    <w:bottom w:val="single" w:color="auto" w:sz="4" w:space="0"/>
                    <w:right w:val="single" w:color="auto" w:sz="4" w:space="0"/>
                  </w:tcBorders>
                  <w:noWrap/>
                  <w:vAlign w:val="center"/>
                </w:tcPr>
                <w:p w14:paraId="0B7AEE47">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单位</w:t>
                  </w:r>
                </w:p>
              </w:tc>
              <w:tc>
                <w:tcPr>
                  <w:tcW w:w="586" w:type="pct"/>
                  <w:tcBorders>
                    <w:top w:val="single" w:color="auto" w:sz="4" w:space="0"/>
                    <w:left w:val="nil"/>
                    <w:bottom w:val="single" w:color="auto" w:sz="4" w:space="0"/>
                    <w:right w:val="single" w:color="auto" w:sz="4" w:space="0"/>
                  </w:tcBorders>
                  <w:noWrap/>
                  <w:vAlign w:val="center"/>
                </w:tcPr>
                <w:p w14:paraId="0613D956">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数量</w:t>
                  </w:r>
                </w:p>
              </w:tc>
              <w:tc>
                <w:tcPr>
                  <w:tcW w:w="755" w:type="pct"/>
                  <w:tcBorders>
                    <w:top w:val="single" w:color="auto" w:sz="4" w:space="0"/>
                    <w:left w:val="nil"/>
                    <w:bottom w:val="single" w:color="auto" w:sz="4" w:space="0"/>
                    <w:right w:val="single" w:color="auto" w:sz="4" w:space="0"/>
                  </w:tcBorders>
                  <w:vAlign w:val="center"/>
                </w:tcPr>
                <w:p w14:paraId="42856CEB">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品牌</w:t>
                  </w:r>
                </w:p>
              </w:tc>
            </w:tr>
            <w:tr w14:paraId="6E610428">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shd w:val="clear" w:color="FFFFFF" w:fill="FFFFFF"/>
                  <w:vAlign w:val="center"/>
                </w:tcPr>
                <w:p w14:paraId="6BCB9697">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UPS不间断电源柜</w:t>
                  </w:r>
                </w:p>
              </w:tc>
              <w:tc>
                <w:tcPr>
                  <w:tcW w:w="1370" w:type="pct"/>
                  <w:tcBorders>
                    <w:top w:val="nil"/>
                    <w:left w:val="nil"/>
                    <w:bottom w:val="single" w:color="000000" w:sz="4" w:space="0"/>
                    <w:right w:val="single" w:color="000000" w:sz="4" w:space="0"/>
                  </w:tcBorders>
                  <w:shd w:val="clear" w:color="FFFFFF" w:fill="FFFFFF"/>
                  <w:vAlign w:val="center"/>
                </w:tcPr>
                <w:p w14:paraId="7C5D196F">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93PR-200KVA</w:t>
                  </w:r>
                </w:p>
              </w:tc>
              <w:tc>
                <w:tcPr>
                  <w:tcW w:w="523" w:type="pct"/>
                  <w:tcBorders>
                    <w:top w:val="nil"/>
                    <w:left w:val="nil"/>
                    <w:bottom w:val="single" w:color="000000" w:sz="4" w:space="0"/>
                    <w:right w:val="single" w:color="000000" w:sz="4" w:space="0"/>
                  </w:tcBorders>
                  <w:shd w:val="clear" w:color="FFFFFF" w:fill="FFFFFF"/>
                  <w:vAlign w:val="center"/>
                </w:tcPr>
                <w:p w14:paraId="1AA5BDD3">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shd w:val="clear" w:color="FFFFFF" w:fill="FFFFFF"/>
                  <w:vAlign w:val="center"/>
                </w:tcPr>
                <w:p w14:paraId="636FFCED">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nil"/>
                    <w:left w:val="nil"/>
                    <w:bottom w:val="single" w:color="000000" w:sz="4" w:space="0"/>
                    <w:right w:val="single" w:color="auto" w:sz="4" w:space="0"/>
                  </w:tcBorders>
                  <w:shd w:val="clear" w:color="FFFFFF" w:fill="FFFFFF"/>
                  <w:vAlign w:val="center"/>
                </w:tcPr>
                <w:p w14:paraId="5A46EF8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64640153">
              <w:tblPrEx>
                <w:tblCellMar>
                  <w:top w:w="0" w:type="dxa"/>
                  <w:left w:w="108" w:type="dxa"/>
                  <w:bottom w:w="0" w:type="dxa"/>
                  <w:right w:w="108" w:type="dxa"/>
                </w:tblCellMar>
              </w:tblPrEx>
              <w:trPr>
                <w:trHeight w:val="504" w:hRule="atLeast"/>
              </w:trPr>
              <w:tc>
                <w:tcPr>
                  <w:tcW w:w="1764" w:type="pct"/>
                  <w:tcBorders>
                    <w:top w:val="single" w:color="000000" w:sz="4" w:space="0"/>
                    <w:left w:val="single" w:color="000000" w:sz="4" w:space="0"/>
                    <w:bottom w:val="nil"/>
                    <w:right w:val="single" w:color="000000" w:sz="4" w:space="0"/>
                  </w:tcBorders>
                  <w:shd w:val="clear" w:color="FFFFFF" w:fill="FFFFFF"/>
                  <w:vAlign w:val="center"/>
                </w:tcPr>
                <w:p w14:paraId="11ADB747">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电池架</w:t>
                  </w:r>
                </w:p>
              </w:tc>
              <w:tc>
                <w:tcPr>
                  <w:tcW w:w="1370" w:type="pct"/>
                  <w:tcBorders>
                    <w:top w:val="nil"/>
                    <w:left w:val="nil"/>
                    <w:bottom w:val="nil"/>
                    <w:right w:val="single" w:color="000000" w:sz="4" w:space="0"/>
                  </w:tcBorders>
                  <w:shd w:val="clear" w:color="FFFFFF" w:fill="FFFFFF"/>
                  <w:vAlign w:val="center"/>
                </w:tcPr>
                <w:p w14:paraId="505CD664">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定制</w:t>
                  </w:r>
                </w:p>
              </w:tc>
              <w:tc>
                <w:tcPr>
                  <w:tcW w:w="523" w:type="pct"/>
                  <w:tcBorders>
                    <w:top w:val="single" w:color="000000" w:sz="4" w:space="0"/>
                    <w:left w:val="nil"/>
                    <w:bottom w:val="nil"/>
                    <w:right w:val="single" w:color="000000" w:sz="4" w:space="0"/>
                  </w:tcBorders>
                  <w:shd w:val="clear" w:color="FFFFFF" w:fill="FFFFFF"/>
                  <w:vAlign w:val="center"/>
                </w:tcPr>
                <w:p w14:paraId="14998BA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套</w:t>
                  </w:r>
                </w:p>
              </w:tc>
              <w:tc>
                <w:tcPr>
                  <w:tcW w:w="586" w:type="pct"/>
                  <w:tcBorders>
                    <w:top w:val="single" w:color="000000" w:sz="4" w:space="0"/>
                    <w:left w:val="nil"/>
                    <w:bottom w:val="nil"/>
                    <w:right w:val="single" w:color="000000" w:sz="4" w:space="0"/>
                  </w:tcBorders>
                  <w:shd w:val="clear" w:color="FFFFFF" w:fill="FFFFFF"/>
                  <w:vAlign w:val="center"/>
                </w:tcPr>
                <w:p w14:paraId="618E560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w:t>
                  </w:r>
                </w:p>
              </w:tc>
              <w:tc>
                <w:tcPr>
                  <w:tcW w:w="755" w:type="pct"/>
                  <w:tcBorders>
                    <w:top w:val="single" w:color="000000" w:sz="4" w:space="0"/>
                    <w:left w:val="nil"/>
                    <w:bottom w:val="nil"/>
                    <w:right w:val="single" w:color="000000" w:sz="4" w:space="0"/>
                  </w:tcBorders>
                  <w:shd w:val="clear" w:color="FFFFFF" w:fill="FFFFFF"/>
                  <w:vAlign w:val="center"/>
                </w:tcPr>
                <w:p w14:paraId="2C877A1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国优</w:t>
                  </w:r>
                </w:p>
              </w:tc>
            </w:tr>
            <w:tr w14:paraId="39308A61">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nil"/>
                  </w:tcBorders>
                  <w:vAlign w:val="center"/>
                </w:tcPr>
                <w:p w14:paraId="58F31EA5">
                  <w:pPr>
                    <w:ind w:firstLine="0" w:firstLineChars="0"/>
                    <w:jc w:val="cente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主机到电池组之间的直流总空开</w:t>
                  </w:r>
                </w:p>
              </w:tc>
              <w:tc>
                <w:tcPr>
                  <w:tcW w:w="1370" w:type="pct"/>
                  <w:tcBorders>
                    <w:top w:val="single" w:color="auto" w:sz="4" w:space="0"/>
                    <w:left w:val="single" w:color="auto" w:sz="4" w:space="0"/>
                    <w:bottom w:val="single" w:color="auto" w:sz="4" w:space="0"/>
                    <w:right w:val="single" w:color="auto" w:sz="4" w:space="0"/>
                  </w:tcBorders>
                  <w:vAlign w:val="center"/>
                </w:tcPr>
                <w:p w14:paraId="01EB724B">
                  <w:pPr>
                    <w:ind w:firstLine="0" w:firstLineChars="0"/>
                    <w:jc w:val="cente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3P-400A</w:t>
                  </w:r>
                </w:p>
              </w:tc>
              <w:tc>
                <w:tcPr>
                  <w:tcW w:w="523" w:type="pct"/>
                  <w:tcBorders>
                    <w:top w:val="single" w:color="000000" w:sz="4" w:space="0"/>
                    <w:left w:val="nil"/>
                    <w:bottom w:val="single" w:color="auto" w:sz="4" w:space="0"/>
                    <w:right w:val="single" w:color="000000" w:sz="4" w:space="0"/>
                  </w:tcBorders>
                  <w:shd w:val="clear" w:color="FFFFFF" w:fill="FFFFFF"/>
                  <w:vAlign w:val="center"/>
                </w:tcPr>
                <w:p w14:paraId="408C4C43">
                  <w:pPr>
                    <w:ind w:firstLine="0" w:firstLineChars="0"/>
                    <w:jc w:val="cente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套</w:t>
                  </w:r>
                </w:p>
              </w:tc>
              <w:tc>
                <w:tcPr>
                  <w:tcW w:w="586" w:type="pct"/>
                  <w:tcBorders>
                    <w:top w:val="single" w:color="000000" w:sz="4" w:space="0"/>
                    <w:left w:val="nil"/>
                    <w:bottom w:val="single" w:color="auto" w:sz="4" w:space="0"/>
                    <w:right w:val="single" w:color="000000" w:sz="4" w:space="0"/>
                  </w:tcBorders>
                  <w:shd w:val="clear" w:color="FFFFFF" w:fill="FFFFFF"/>
                  <w:vAlign w:val="center"/>
                </w:tcPr>
                <w:p w14:paraId="615675D7">
                  <w:pPr>
                    <w:ind w:firstLine="0" w:firstLineChars="0"/>
                    <w:jc w:val="cente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w:t>
                  </w:r>
                </w:p>
              </w:tc>
              <w:tc>
                <w:tcPr>
                  <w:tcW w:w="755" w:type="pct"/>
                  <w:tcBorders>
                    <w:top w:val="single" w:color="000000" w:sz="4" w:space="0"/>
                    <w:left w:val="nil"/>
                    <w:bottom w:val="single" w:color="auto" w:sz="4" w:space="0"/>
                    <w:right w:val="single" w:color="000000" w:sz="4" w:space="0"/>
                  </w:tcBorders>
                  <w:shd w:val="clear" w:color="FFFFFF" w:fill="FFFFFF"/>
                  <w:vAlign w:val="center"/>
                </w:tcPr>
                <w:p w14:paraId="4CF39F3B">
                  <w:pPr>
                    <w:ind w:firstLine="0" w:firstLineChars="0"/>
                    <w:jc w:val="center"/>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国优</w:t>
                  </w:r>
                </w:p>
              </w:tc>
            </w:tr>
            <w:tr w14:paraId="254EB0A6">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nil"/>
                  </w:tcBorders>
                  <w:vAlign w:val="center"/>
                </w:tcPr>
                <w:p w14:paraId="16396CF4">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主机到电池组之间连接电缆（5米距离内）</w:t>
                  </w:r>
                </w:p>
              </w:tc>
              <w:tc>
                <w:tcPr>
                  <w:tcW w:w="1370" w:type="pct"/>
                  <w:tcBorders>
                    <w:top w:val="nil"/>
                    <w:left w:val="single" w:color="auto" w:sz="4" w:space="0"/>
                    <w:bottom w:val="single" w:color="auto" w:sz="4" w:space="0"/>
                    <w:right w:val="single" w:color="auto" w:sz="4" w:space="0"/>
                  </w:tcBorders>
                  <w:vAlign w:val="center"/>
                </w:tcPr>
                <w:p w14:paraId="34158B95">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BVR-70*2平方</w:t>
                  </w:r>
                </w:p>
              </w:tc>
              <w:tc>
                <w:tcPr>
                  <w:tcW w:w="523" w:type="pct"/>
                  <w:tcBorders>
                    <w:top w:val="single" w:color="auto" w:sz="4" w:space="0"/>
                    <w:left w:val="nil"/>
                    <w:bottom w:val="single" w:color="auto" w:sz="4" w:space="0"/>
                    <w:right w:val="single" w:color="auto" w:sz="4" w:space="0"/>
                  </w:tcBorders>
                  <w:shd w:val="clear" w:color="FFFFFF" w:fill="FFFFFF"/>
                  <w:vAlign w:val="center"/>
                </w:tcPr>
                <w:p w14:paraId="39989CC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套</w:t>
                  </w:r>
                </w:p>
              </w:tc>
              <w:tc>
                <w:tcPr>
                  <w:tcW w:w="586" w:type="pct"/>
                  <w:tcBorders>
                    <w:top w:val="single" w:color="auto" w:sz="4" w:space="0"/>
                    <w:left w:val="single" w:color="auto" w:sz="4" w:space="0"/>
                    <w:bottom w:val="single" w:color="auto" w:sz="4" w:space="0"/>
                    <w:right w:val="single" w:color="auto" w:sz="4" w:space="0"/>
                  </w:tcBorders>
                  <w:shd w:val="clear" w:color="FFFFFF" w:fill="FFFFFF"/>
                  <w:vAlign w:val="center"/>
                </w:tcPr>
                <w:p w14:paraId="2EC393B4">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single" w:color="auto" w:sz="4" w:space="0"/>
                    <w:left w:val="single" w:color="auto" w:sz="4" w:space="0"/>
                    <w:bottom w:val="single" w:color="auto" w:sz="4" w:space="0"/>
                    <w:right w:val="single" w:color="auto" w:sz="4" w:space="0"/>
                  </w:tcBorders>
                  <w:shd w:val="clear" w:color="FFFFFF" w:fill="FFFFFF"/>
                  <w:vAlign w:val="center"/>
                </w:tcPr>
                <w:p w14:paraId="20061B36">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国优</w:t>
                  </w:r>
                </w:p>
              </w:tc>
            </w:tr>
            <w:tr w14:paraId="13918315">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vAlign w:val="center"/>
                </w:tcPr>
                <w:p w14:paraId="56DB9576">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电池开关箱</w:t>
                  </w:r>
                </w:p>
              </w:tc>
              <w:tc>
                <w:tcPr>
                  <w:tcW w:w="1370" w:type="pct"/>
                  <w:tcBorders>
                    <w:top w:val="nil"/>
                    <w:left w:val="nil"/>
                    <w:bottom w:val="single" w:color="000000" w:sz="4" w:space="0"/>
                    <w:right w:val="single" w:color="000000" w:sz="4" w:space="0"/>
                  </w:tcBorders>
                  <w:vAlign w:val="center"/>
                </w:tcPr>
                <w:p w14:paraId="4101C2CF">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电池开关箱</w:t>
                  </w:r>
                </w:p>
              </w:tc>
              <w:tc>
                <w:tcPr>
                  <w:tcW w:w="523" w:type="pct"/>
                  <w:tcBorders>
                    <w:top w:val="single" w:color="auto" w:sz="4" w:space="0"/>
                    <w:left w:val="nil"/>
                    <w:bottom w:val="single" w:color="000000" w:sz="4" w:space="0"/>
                    <w:right w:val="single" w:color="000000" w:sz="4" w:space="0"/>
                  </w:tcBorders>
                  <w:vAlign w:val="center"/>
                </w:tcPr>
                <w:p w14:paraId="7B9B4B1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single" w:color="auto" w:sz="4" w:space="0"/>
                    <w:left w:val="nil"/>
                    <w:bottom w:val="single" w:color="000000" w:sz="4" w:space="0"/>
                    <w:right w:val="single" w:color="000000" w:sz="4" w:space="0"/>
                  </w:tcBorders>
                  <w:vAlign w:val="center"/>
                </w:tcPr>
                <w:p w14:paraId="0F9CFE5D">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single" w:color="auto" w:sz="4" w:space="0"/>
                    <w:left w:val="nil"/>
                    <w:bottom w:val="single" w:color="000000" w:sz="4" w:space="0"/>
                    <w:right w:val="single" w:color="000000" w:sz="4" w:space="0"/>
                  </w:tcBorders>
                  <w:vAlign w:val="center"/>
                </w:tcPr>
                <w:p w14:paraId="14D6E81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国优</w:t>
                  </w:r>
                </w:p>
              </w:tc>
            </w:tr>
            <w:tr w14:paraId="0D122E23">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vAlign w:val="center"/>
                </w:tcPr>
                <w:p w14:paraId="505E8B3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电线WDZR-BVR 2*50mm2</w:t>
                  </w:r>
                </w:p>
              </w:tc>
              <w:tc>
                <w:tcPr>
                  <w:tcW w:w="1370" w:type="pct"/>
                  <w:tcBorders>
                    <w:top w:val="nil"/>
                    <w:left w:val="nil"/>
                    <w:bottom w:val="single" w:color="000000" w:sz="4" w:space="0"/>
                    <w:right w:val="single" w:color="000000" w:sz="4" w:space="0"/>
                  </w:tcBorders>
                  <w:vAlign w:val="center"/>
                </w:tcPr>
                <w:p w14:paraId="56101EA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电线WDZR-BVR2*50mm2</w:t>
                  </w:r>
                </w:p>
              </w:tc>
              <w:tc>
                <w:tcPr>
                  <w:tcW w:w="523" w:type="pct"/>
                  <w:tcBorders>
                    <w:top w:val="nil"/>
                    <w:left w:val="nil"/>
                    <w:bottom w:val="single" w:color="000000" w:sz="4" w:space="0"/>
                    <w:right w:val="single" w:color="000000" w:sz="4" w:space="0"/>
                  </w:tcBorders>
                  <w:vAlign w:val="center"/>
                </w:tcPr>
                <w:p w14:paraId="43753D7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m</w:t>
                  </w:r>
                </w:p>
              </w:tc>
              <w:tc>
                <w:tcPr>
                  <w:tcW w:w="586" w:type="pct"/>
                  <w:tcBorders>
                    <w:top w:val="nil"/>
                    <w:left w:val="nil"/>
                    <w:bottom w:val="single" w:color="000000" w:sz="4" w:space="0"/>
                    <w:right w:val="single" w:color="000000" w:sz="4" w:space="0"/>
                  </w:tcBorders>
                  <w:vAlign w:val="center"/>
                </w:tcPr>
                <w:p w14:paraId="03C4ED88">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260</w:t>
                  </w:r>
                </w:p>
              </w:tc>
              <w:tc>
                <w:tcPr>
                  <w:tcW w:w="755" w:type="pct"/>
                  <w:tcBorders>
                    <w:top w:val="nil"/>
                    <w:left w:val="nil"/>
                    <w:bottom w:val="single" w:color="000000" w:sz="4" w:space="0"/>
                    <w:right w:val="single" w:color="000000" w:sz="4" w:space="0"/>
                  </w:tcBorders>
                  <w:vAlign w:val="center"/>
                </w:tcPr>
                <w:p w14:paraId="34D93D5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国优</w:t>
                  </w:r>
                </w:p>
              </w:tc>
            </w:tr>
            <w:tr w14:paraId="3E86D51B">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vAlign w:val="center"/>
                </w:tcPr>
                <w:p w14:paraId="0D80A2CD">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UPS进线柜（PD1、2）</w:t>
                  </w:r>
                </w:p>
              </w:tc>
              <w:tc>
                <w:tcPr>
                  <w:tcW w:w="1370" w:type="pct"/>
                  <w:tcBorders>
                    <w:top w:val="nil"/>
                    <w:left w:val="nil"/>
                    <w:bottom w:val="single" w:color="000000" w:sz="4" w:space="0"/>
                    <w:right w:val="single" w:color="000000" w:sz="4" w:space="0"/>
                  </w:tcBorders>
                  <w:vAlign w:val="center"/>
                </w:tcPr>
                <w:p w14:paraId="1AF23AC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UPS进线柜（PD1、2）</w:t>
                  </w:r>
                </w:p>
              </w:tc>
              <w:tc>
                <w:tcPr>
                  <w:tcW w:w="523" w:type="pct"/>
                  <w:tcBorders>
                    <w:top w:val="nil"/>
                    <w:left w:val="nil"/>
                    <w:bottom w:val="single" w:color="000000" w:sz="4" w:space="0"/>
                    <w:right w:val="single" w:color="000000" w:sz="4" w:space="0"/>
                  </w:tcBorders>
                  <w:vAlign w:val="center"/>
                </w:tcPr>
                <w:p w14:paraId="59C60038">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vAlign w:val="center"/>
                </w:tcPr>
                <w:p w14:paraId="1C033DF6">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nil"/>
                    <w:left w:val="nil"/>
                    <w:bottom w:val="single" w:color="000000" w:sz="4" w:space="0"/>
                    <w:right w:val="single" w:color="000000" w:sz="4" w:space="0"/>
                  </w:tcBorders>
                  <w:vAlign w:val="center"/>
                </w:tcPr>
                <w:p w14:paraId="436CC32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国优</w:t>
                  </w:r>
                </w:p>
              </w:tc>
            </w:tr>
            <w:tr w14:paraId="3D13407B">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vAlign w:val="center"/>
                </w:tcPr>
                <w:p w14:paraId="55AA39E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UPS输出配电柜（PD-UPS）</w:t>
                  </w:r>
                </w:p>
              </w:tc>
              <w:tc>
                <w:tcPr>
                  <w:tcW w:w="1370" w:type="pct"/>
                  <w:tcBorders>
                    <w:top w:val="nil"/>
                    <w:left w:val="nil"/>
                    <w:bottom w:val="single" w:color="000000" w:sz="4" w:space="0"/>
                    <w:right w:val="single" w:color="000000" w:sz="4" w:space="0"/>
                  </w:tcBorders>
                  <w:vAlign w:val="center"/>
                </w:tcPr>
                <w:p w14:paraId="7E7C75F5">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UPS输出配电柜（PD-UPS）</w:t>
                  </w:r>
                </w:p>
              </w:tc>
              <w:tc>
                <w:tcPr>
                  <w:tcW w:w="523" w:type="pct"/>
                  <w:tcBorders>
                    <w:top w:val="nil"/>
                    <w:left w:val="nil"/>
                    <w:bottom w:val="single" w:color="000000" w:sz="4" w:space="0"/>
                    <w:right w:val="single" w:color="000000" w:sz="4" w:space="0"/>
                  </w:tcBorders>
                  <w:vAlign w:val="center"/>
                </w:tcPr>
                <w:p w14:paraId="07C641CD">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vAlign w:val="center"/>
                </w:tcPr>
                <w:p w14:paraId="5BD70A7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nil"/>
                    <w:left w:val="nil"/>
                    <w:bottom w:val="single" w:color="000000" w:sz="4" w:space="0"/>
                    <w:right w:val="single" w:color="000000" w:sz="4" w:space="0"/>
                  </w:tcBorders>
                  <w:vAlign w:val="center"/>
                </w:tcPr>
                <w:p w14:paraId="63B8A15C">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国优</w:t>
                  </w:r>
                </w:p>
              </w:tc>
            </w:tr>
            <w:tr w14:paraId="10916135">
              <w:tblPrEx>
                <w:tblCellMar>
                  <w:top w:w="0" w:type="dxa"/>
                  <w:left w:w="108" w:type="dxa"/>
                  <w:bottom w:w="0" w:type="dxa"/>
                  <w:right w:w="108" w:type="dxa"/>
                </w:tblCellMar>
              </w:tblPrEx>
              <w:trPr>
                <w:trHeight w:val="504" w:hRule="atLeast"/>
              </w:trPr>
              <w:tc>
                <w:tcPr>
                  <w:tcW w:w="1764" w:type="pct"/>
                  <w:tcBorders>
                    <w:top w:val="nil"/>
                    <w:left w:val="single" w:color="000000" w:sz="4" w:space="0"/>
                    <w:bottom w:val="nil"/>
                    <w:right w:val="single" w:color="000000" w:sz="4" w:space="0"/>
                  </w:tcBorders>
                  <w:vAlign w:val="center"/>
                </w:tcPr>
                <w:p w14:paraId="269D8467">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协议转换器</w:t>
                  </w:r>
                </w:p>
              </w:tc>
              <w:tc>
                <w:tcPr>
                  <w:tcW w:w="1370" w:type="pct"/>
                  <w:tcBorders>
                    <w:top w:val="nil"/>
                    <w:left w:val="nil"/>
                    <w:bottom w:val="single" w:color="000000" w:sz="4" w:space="0"/>
                    <w:right w:val="single" w:color="000000" w:sz="4" w:space="0"/>
                  </w:tcBorders>
                  <w:vAlign w:val="center"/>
                </w:tcPr>
                <w:p w14:paraId="03ED3578">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SNS-2</w:t>
                  </w:r>
                </w:p>
              </w:tc>
              <w:tc>
                <w:tcPr>
                  <w:tcW w:w="523" w:type="pct"/>
                  <w:tcBorders>
                    <w:top w:val="nil"/>
                    <w:left w:val="nil"/>
                    <w:bottom w:val="single" w:color="000000" w:sz="4" w:space="0"/>
                    <w:right w:val="single" w:color="000000" w:sz="4" w:space="0"/>
                  </w:tcBorders>
                  <w:vAlign w:val="center"/>
                </w:tcPr>
                <w:p w14:paraId="3E28EC1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vAlign w:val="center"/>
                </w:tcPr>
                <w:p w14:paraId="42F65B1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4</w:t>
                  </w:r>
                </w:p>
              </w:tc>
              <w:tc>
                <w:tcPr>
                  <w:tcW w:w="755" w:type="pct"/>
                  <w:tcBorders>
                    <w:top w:val="nil"/>
                    <w:left w:val="nil"/>
                    <w:bottom w:val="single" w:color="000000" w:sz="4" w:space="0"/>
                    <w:right w:val="single" w:color="000000" w:sz="4" w:space="0"/>
                  </w:tcBorders>
                  <w:vAlign w:val="center"/>
                </w:tcPr>
                <w:p w14:paraId="001068C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2199274B">
              <w:tblPrEx>
                <w:tblCellMar>
                  <w:top w:w="0" w:type="dxa"/>
                  <w:left w:w="108" w:type="dxa"/>
                  <w:bottom w:w="0" w:type="dxa"/>
                  <w:right w:w="108" w:type="dxa"/>
                </w:tblCellMar>
              </w:tblPrEx>
              <w:trPr>
                <w:trHeight w:val="504" w:hRule="atLeast"/>
              </w:trPr>
              <w:tc>
                <w:tcPr>
                  <w:tcW w:w="1764" w:type="pct"/>
                  <w:tcBorders>
                    <w:top w:val="single" w:color="auto" w:sz="4" w:space="0"/>
                    <w:left w:val="single" w:color="000000" w:sz="4" w:space="0"/>
                    <w:bottom w:val="single" w:color="000000" w:sz="4" w:space="0"/>
                    <w:right w:val="single" w:color="000000" w:sz="4" w:space="0"/>
                  </w:tcBorders>
                  <w:shd w:val="clear" w:color="FFFFFF" w:fill="FFFFFF"/>
                  <w:vAlign w:val="center"/>
                </w:tcPr>
                <w:p w14:paraId="344AF4D7">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智能配电监控软件开发接入模块</w:t>
                  </w:r>
                </w:p>
              </w:tc>
              <w:tc>
                <w:tcPr>
                  <w:tcW w:w="1370" w:type="pct"/>
                  <w:tcBorders>
                    <w:top w:val="single" w:color="auto" w:sz="4" w:space="0"/>
                    <w:left w:val="nil"/>
                    <w:bottom w:val="single" w:color="000000" w:sz="4" w:space="0"/>
                    <w:right w:val="single" w:color="000000" w:sz="4" w:space="0"/>
                  </w:tcBorders>
                  <w:shd w:val="clear" w:color="FFFFFF" w:fill="FFFFFF"/>
                  <w:vAlign w:val="center"/>
                </w:tcPr>
                <w:p w14:paraId="3A9FA14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DCIM-PD</w:t>
                  </w:r>
                </w:p>
              </w:tc>
              <w:tc>
                <w:tcPr>
                  <w:tcW w:w="523" w:type="pct"/>
                  <w:tcBorders>
                    <w:top w:val="single" w:color="auto" w:sz="4" w:space="0"/>
                    <w:left w:val="nil"/>
                    <w:bottom w:val="single" w:color="000000" w:sz="4" w:space="0"/>
                    <w:right w:val="single" w:color="000000" w:sz="4" w:space="0"/>
                  </w:tcBorders>
                  <w:shd w:val="clear" w:color="FFFFFF" w:fill="FFFFFF"/>
                  <w:vAlign w:val="center"/>
                </w:tcPr>
                <w:p w14:paraId="18FB323B">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single" w:color="auto" w:sz="4" w:space="0"/>
                    <w:left w:val="nil"/>
                    <w:bottom w:val="single" w:color="000000" w:sz="4" w:space="0"/>
                    <w:right w:val="single" w:color="000000" w:sz="4" w:space="0"/>
                  </w:tcBorders>
                  <w:shd w:val="clear" w:color="FFFFFF" w:fill="FFFFFF"/>
                  <w:vAlign w:val="center"/>
                </w:tcPr>
                <w:p w14:paraId="77C2CA8F">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w:t>
                  </w:r>
                </w:p>
              </w:tc>
              <w:tc>
                <w:tcPr>
                  <w:tcW w:w="755" w:type="pct"/>
                  <w:tcBorders>
                    <w:top w:val="single" w:color="auto" w:sz="4" w:space="0"/>
                    <w:left w:val="nil"/>
                    <w:bottom w:val="single" w:color="000000" w:sz="4" w:space="0"/>
                    <w:right w:val="single" w:color="000000" w:sz="4" w:space="0"/>
                  </w:tcBorders>
                  <w:shd w:val="clear" w:color="FFFFFF" w:fill="FFFFFF"/>
                  <w:vAlign w:val="center"/>
                </w:tcPr>
                <w:p w14:paraId="06E1DAF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20184EB0">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shd w:val="clear" w:color="FFFFFF" w:fill="FFFFFF"/>
                  <w:vAlign w:val="center"/>
                </w:tcPr>
                <w:p w14:paraId="0B8536A0">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智能电源监控软件开发接入模块</w:t>
                  </w:r>
                </w:p>
              </w:tc>
              <w:tc>
                <w:tcPr>
                  <w:tcW w:w="1370" w:type="pct"/>
                  <w:tcBorders>
                    <w:top w:val="nil"/>
                    <w:left w:val="nil"/>
                    <w:bottom w:val="single" w:color="000000" w:sz="4" w:space="0"/>
                    <w:right w:val="single" w:color="000000" w:sz="4" w:space="0"/>
                  </w:tcBorders>
                  <w:shd w:val="clear" w:color="FFFFFF" w:fill="FFFFFF"/>
                  <w:vAlign w:val="center"/>
                </w:tcPr>
                <w:p w14:paraId="108D4B74">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DCIM-UPS</w:t>
                  </w:r>
                </w:p>
              </w:tc>
              <w:tc>
                <w:tcPr>
                  <w:tcW w:w="523" w:type="pct"/>
                  <w:tcBorders>
                    <w:top w:val="nil"/>
                    <w:left w:val="nil"/>
                    <w:bottom w:val="single" w:color="000000" w:sz="4" w:space="0"/>
                    <w:right w:val="single" w:color="000000" w:sz="4" w:space="0"/>
                  </w:tcBorders>
                  <w:shd w:val="clear" w:color="FFFFFF" w:fill="FFFFFF"/>
                  <w:vAlign w:val="center"/>
                </w:tcPr>
                <w:p w14:paraId="179464E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shd w:val="clear" w:color="FFFFFF" w:fill="FFFFFF"/>
                  <w:vAlign w:val="center"/>
                </w:tcPr>
                <w:p w14:paraId="32EEC70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nil"/>
                    <w:left w:val="nil"/>
                    <w:bottom w:val="single" w:color="000000" w:sz="4" w:space="0"/>
                    <w:right w:val="single" w:color="000000" w:sz="4" w:space="0"/>
                  </w:tcBorders>
                  <w:shd w:val="clear" w:color="FFFFFF" w:fill="FFFFFF"/>
                  <w:vAlign w:val="center"/>
                </w:tcPr>
                <w:p w14:paraId="0D556535">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7063C8FC">
              <w:tblPrEx>
                <w:tblCellMar>
                  <w:top w:w="0" w:type="dxa"/>
                  <w:left w:w="108" w:type="dxa"/>
                  <w:bottom w:w="0" w:type="dxa"/>
                  <w:right w:w="108" w:type="dxa"/>
                </w:tblCellMar>
              </w:tblPrEx>
              <w:trPr>
                <w:trHeight w:val="504" w:hRule="atLeast"/>
              </w:trPr>
              <w:tc>
                <w:tcPr>
                  <w:tcW w:w="1764" w:type="pct"/>
                  <w:tcBorders>
                    <w:top w:val="single" w:color="auto" w:sz="4" w:space="0"/>
                    <w:left w:val="single" w:color="000000" w:sz="4" w:space="0"/>
                    <w:bottom w:val="single" w:color="000000" w:sz="4" w:space="0"/>
                    <w:right w:val="single" w:color="000000" w:sz="4" w:space="0"/>
                  </w:tcBorders>
                  <w:shd w:val="clear" w:color="FFFFFF" w:fill="FFFFFF"/>
                  <w:vAlign w:val="center"/>
                </w:tcPr>
                <w:p w14:paraId="5F8F84C3">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电池组在线监测</w:t>
                  </w:r>
                </w:p>
              </w:tc>
              <w:tc>
                <w:tcPr>
                  <w:tcW w:w="1370" w:type="pct"/>
                  <w:tcBorders>
                    <w:top w:val="single" w:color="auto" w:sz="4" w:space="0"/>
                    <w:left w:val="nil"/>
                    <w:bottom w:val="single" w:color="000000" w:sz="4" w:space="0"/>
                    <w:right w:val="single" w:color="000000" w:sz="4" w:space="0"/>
                  </w:tcBorders>
                  <w:shd w:val="clear" w:color="FFFFFF" w:fill="FFFFFF"/>
                  <w:vAlign w:val="center"/>
                </w:tcPr>
                <w:p w14:paraId="1FE509F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MU-TA</w:t>
                  </w:r>
                </w:p>
              </w:tc>
              <w:tc>
                <w:tcPr>
                  <w:tcW w:w="523" w:type="pct"/>
                  <w:tcBorders>
                    <w:top w:val="single" w:color="auto" w:sz="4" w:space="0"/>
                    <w:left w:val="nil"/>
                    <w:bottom w:val="single" w:color="000000" w:sz="4" w:space="0"/>
                    <w:right w:val="single" w:color="000000" w:sz="4" w:space="0"/>
                  </w:tcBorders>
                  <w:shd w:val="clear" w:color="FFFFFF" w:fill="FFFFFF"/>
                  <w:vAlign w:val="center"/>
                </w:tcPr>
                <w:p w14:paraId="30BC8D3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套</w:t>
                  </w:r>
                </w:p>
              </w:tc>
              <w:tc>
                <w:tcPr>
                  <w:tcW w:w="586" w:type="pct"/>
                  <w:tcBorders>
                    <w:top w:val="single" w:color="auto" w:sz="4" w:space="0"/>
                    <w:left w:val="nil"/>
                    <w:bottom w:val="single" w:color="000000" w:sz="4" w:space="0"/>
                    <w:right w:val="single" w:color="000000" w:sz="4" w:space="0"/>
                  </w:tcBorders>
                  <w:shd w:val="clear" w:color="FFFFFF" w:fill="FFFFFF"/>
                  <w:vAlign w:val="center"/>
                </w:tcPr>
                <w:p w14:paraId="4C8174A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42</w:t>
                  </w:r>
                </w:p>
              </w:tc>
              <w:tc>
                <w:tcPr>
                  <w:tcW w:w="755" w:type="pct"/>
                  <w:tcBorders>
                    <w:top w:val="single" w:color="auto" w:sz="4" w:space="0"/>
                    <w:left w:val="nil"/>
                    <w:bottom w:val="single" w:color="000000" w:sz="4" w:space="0"/>
                    <w:right w:val="single" w:color="000000" w:sz="4" w:space="0"/>
                  </w:tcBorders>
                  <w:shd w:val="clear" w:color="FFFFFF" w:fill="FFFFFF"/>
                  <w:vAlign w:val="center"/>
                </w:tcPr>
                <w:p w14:paraId="1D6615EC">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7A4F2D35">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shd w:val="clear" w:color="FFFFFF" w:fill="FFFFFF"/>
                  <w:vAlign w:val="center"/>
                </w:tcPr>
                <w:p w14:paraId="3F226BF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电池表温度+组电流</w:t>
                  </w:r>
                </w:p>
              </w:tc>
              <w:tc>
                <w:tcPr>
                  <w:tcW w:w="1370" w:type="pct"/>
                  <w:tcBorders>
                    <w:top w:val="nil"/>
                    <w:left w:val="nil"/>
                    <w:bottom w:val="single" w:color="000000" w:sz="4" w:space="0"/>
                    <w:right w:val="single" w:color="000000" w:sz="4" w:space="0"/>
                  </w:tcBorders>
                  <w:shd w:val="clear" w:color="FFFFFF" w:fill="FFFFFF"/>
                  <w:vAlign w:val="center"/>
                </w:tcPr>
                <w:p w14:paraId="26951630">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MU-TC</w:t>
                  </w:r>
                </w:p>
              </w:tc>
              <w:tc>
                <w:tcPr>
                  <w:tcW w:w="523" w:type="pct"/>
                  <w:tcBorders>
                    <w:top w:val="nil"/>
                    <w:left w:val="nil"/>
                    <w:bottom w:val="single" w:color="000000" w:sz="4" w:space="0"/>
                    <w:right w:val="single" w:color="000000" w:sz="4" w:space="0"/>
                  </w:tcBorders>
                  <w:shd w:val="clear" w:color="FFFFFF" w:fill="FFFFFF"/>
                  <w:vAlign w:val="center"/>
                </w:tcPr>
                <w:p w14:paraId="4080E40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套</w:t>
                  </w:r>
                </w:p>
              </w:tc>
              <w:tc>
                <w:tcPr>
                  <w:tcW w:w="586" w:type="pct"/>
                  <w:tcBorders>
                    <w:top w:val="nil"/>
                    <w:left w:val="nil"/>
                    <w:bottom w:val="single" w:color="000000" w:sz="4" w:space="0"/>
                    <w:right w:val="single" w:color="000000" w:sz="4" w:space="0"/>
                  </w:tcBorders>
                  <w:shd w:val="clear" w:color="FFFFFF" w:fill="FFFFFF"/>
                  <w:vAlign w:val="center"/>
                </w:tcPr>
                <w:p w14:paraId="2BB91AB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3</w:t>
                  </w:r>
                </w:p>
              </w:tc>
              <w:tc>
                <w:tcPr>
                  <w:tcW w:w="755" w:type="pct"/>
                  <w:tcBorders>
                    <w:top w:val="nil"/>
                    <w:left w:val="nil"/>
                    <w:bottom w:val="single" w:color="000000" w:sz="4" w:space="0"/>
                    <w:right w:val="single" w:color="000000" w:sz="4" w:space="0"/>
                  </w:tcBorders>
                  <w:shd w:val="clear" w:color="FFFFFF" w:fill="FFFFFF"/>
                  <w:vAlign w:val="center"/>
                </w:tcPr>
                <w:p w14:paraId="7743ACF5">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263E2658">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shd w:val="clear" w:color="FFFFFF" w:fill="FFFFFF"/>
                  <w:vAlign w:val="center"/>
                </w:tcPr>
                <w:p w14:paraId="4A86545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收敛模块</w:t>
                  </w:r>
                </w:p>
              </w:tc>
              <w:tc>
                <w:tcPr>
                  <w:tcW w:w="1370" w:type="pct"/>
                  <w:tcBorders>
                    <w:top w:val="nil"/>
                    <w:left w:val="nil"/>
                    <w:bottom w:val="single" w:color="000000" w:sz="4" w:space="0"/>
                    <w:right w:val="single" w:color="000000" w:sz="4" w:space="0"/>
                  </w:tcBorders>
                  <w:shd w:val="clear" w:color="FFFFFF" w:fill="FFFFFF"/>
                  <w:vAlign w:val="center"/>
                </w:tcPr>
                <w:p w14:paraId="1E5EAB2F">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MU-CM</w:t>
                  </w:r>
                </w:p>
              </w:tc>
              <w:tc>
                <w:tcPr>
                  <w:tcW w:w="523" w:type="pct"/>
                  <w:tcBorders>
                    <w:top w:val="nil"/>
                    <w:left w:val="nil"/>
                    <w:bottom w:val="single" w:color="000000" w:sz="4" w:space="0"/>
                    <w:right w:val="single" w:color="000000" w:sz="4" w:space="0"/>
                  </w:tcBorders>
                  <w:shd w:val="clear" w:color="FFFFFF" w:fill="FFFFFF"/>
                  <w:vAlign w:val="center"/>
                </w:tcPr>
                <w:p w14:paraId="30D9DD2D">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shd w:val="clear" w:color="FFFFFF" w:fill="FFFFFF"/>
                  <w:vAlign w:val="center"/>
                </w:tcPr>
                <w:p w14:paraId="3106DC8B">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nil"/>
                    <w:left w:val="nil"/>
                    <w:bottom w:val="single" w:color="000000" w:sz="4" w:space="0"/>
                    <w:right w:val="single" w:color="000000" w:sz="4" w:space="0"/>
                  </w:tcBorders>
                  <w:shd w:val="clear" w:color="FFFFFF" w:fill="FFFFFF"/>
                  <w:vAlign w:val="center"/>
                </w:tcPr>
                <w:p w14:paraId="6F478820">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0CF57F22">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vAlign w:val="center"/>
                </w:tcPr>
                <w:p w14:paraId="3951B50B">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蓄电池组监控软件开发接入模块</w:t>
                  </w:r>
                </w:p>
              </w:tc>
              <w:tc>
                <w:tcPr>
                  <w:tcW w:w="1370" w:type="pct"/>
                  <w:tcBorders>
                    <w:top w:val="nil"/>
                    <w:left w:val="nil"/>
                    <w:bottom w:val="single" w:color="000000" w:sz="4" w:space="0"/>
                    <w:right w:val="single" w:color="000000" w:sz="4" w:space="0"/>
                  </w:tcBorders>
                  <w:vAlign w:val="center"/>
                </w:tcPr>
                <w:p w14:paraId="0E9B2DE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DCIM-DC</w:t>
                  </w:r>
                </w:p>
              </w:tc>
              <w:tc>
                <w:tcPr>
                  <w:tcW w:w="523" w:type="pct"/>
                  <w:tcBorders>
                    <w:top w:val="nil"/>
                    <w:left w:val="nil"/>
                    <w:bottom w:val="single" w:color="000000" w:sz="4" w:space="0"/>
                    <w:right w:val="single" w:color="000000" w:sz="4" w:space="0"/>
                  </w:tcBorders>
                  <w:vAlign w:val="center"/>
                </w:tcPr>
                <w:p w14:paraId="723BE42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vAlign w:val="center"/>
                </w:tcPr>
                <w:p w14:paraId="7EABCC8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nil"/>
                    <w:left w:val="nil"/>
                    <w:bottom w:val="single" w:color="000000" w:sz="4" w:space="0"/>
                    <w:right w:val="single" w:color="000000" w:sz="4" w:space="0"/>
                  </w:tcBorders>
                  <w:vAlign w:val="center"/>
                </w:tcPr>
                <w:p w14:paraId="1FD36C7B">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6F44AE14">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vAlign w:val="center"/>
                </w:tcPr>
                <w:p w14:paraId="411AE3A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精密空调监控软件开发接入模块</w:t>
                  </w:r>
                </w:p>
              </w:tc>
              <w:tc>
                <w:tcPr>
                  <w:tcW w:w="1370" w:type="pct"/>
                  <w:tcBorders>
                    <w:top w:val="nil"/>
                    <w:left w:val="nil"/>
                    <w:bottom w:val="single" w:color="000000" w:sz="4" w:space="0"/>
                    <w:right w:val="single" w:color="000000" w:sz="4" w:space="0"/>
                  </w:tcBorders>
                  <w:vAlign w:val="center"/>
                </w:tcPr>
                <w:p w14:paraId="3F9CBFF5">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DCIM-KT</w:t>
                  </w:r>
                </w:p>
              </w:tc>
              <w:tc>
                <w:tcPr>
                  <w:tcW w:w="523" w:type="pct"/>
                  <w:tcBorders>
                    <w:top w:val="nil"/>
                    <w:left w:val="nil"/>
                    <w:bottom w:val="single" w:color="000000" w:sz="4" w:space="0"/>
                    <w:right w:val="single" w:color="000000" w:sz="4" w:space="0"/>
                  </w:tcBorders>
                  <w:vAlign w:val="center"/>
                </w:tcPr>
                <w:p w14:paraId="7B7CF39D">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vAlign w:val="center"/>
                </w:tcPr>
                <w:p w14:paraId="039AD788">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w:t>
                  </w:r>
                </w:p>
              </w:tc>
              <w:tc>
                <w:tcPr>
                  <w:tcW w:w="755" w:type="pct"/>
                  <w:tcBorders>
                    <w:top w:val="nil"/>
                    <w:left w:val="nil"/>
                    <w:bottom w:val="single" w:color="000000" w:sz="4" w:space="0"/>
                    <w:right w:val="single" w:color="000000" w:sz="4" w:space="0"/>
                  </w:tcBorders>
                  <w:vAlign w:val="center"/>
                </w:tcPr>
                <w:p w14:paraId="664B3BD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054EC404">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shd w:val="clear" w:color="FFFFFF" w:fill="FFFFFF"/>
                  <w:vAlign w:val="center"/>
                </w:tcPr>
                <w:p w14:paraId="38D72DD3">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温湿度一体化变送器</w:t>
                  </w:r>
                </w:p>
              </w:tc>
              <w:tc>
                <w:tcPr>
                  <w:tcW w:w="1370" w:type="pct"/>
                  <w:tcBorders>
                    <w:top w:val="nil"/>
                    <w:left w:val="nil"/>
                    <w:bottom w:val="single" w:color="000000" w:sz="4" w:space="0"/>
                    <w:right w:val="single" w:color="000000" w:sz="4" w:space="0"/>
                  </w:tcBorders>
                  <w:shd w:val="clear" w:color="FFFFFF" w:fill="FFFFFF"/>
                  <w:vAlign w:val="center"/>
                </w:tcPr>
                <w:p w14:paraId="3205DB88">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MU-THR</w:t>
                  </w:r>
                </w:p>
              </w:tc>
              <w:tc>
                <w:tcPr>
                  <w:tcW w:w="523" w:type="pct"/>
                  <w:tcBorders>
                    <w:top w:val="nil"/>
                    <w:left w:val="nil"/>
                    <w:bottom w:val="single" w:color="000000" w:sz="4" w:space="0"/>
                    <w:right w:val="single" w:color="000000" w:sz="4" w:space="0"/>
                  </w:tcBorders>
                  <w:shd w:val="clear" w:color="FFFFFF" w:fill="FFFFFF"/>
                  <w:vAlign w:val="center"/>
                </w:tcPr>
                <w:p w14:paraId="25C3CF1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shd w:val="clear" w:color="FFFFFF" w:fill="FFFFFF"/>
                  <w:vAlign w:val="center"/>
                </w:tcPr>
                <w:p w14:paraId="63ED7C27">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10</w:t>
                  </w:r>
                </w:p>
              </w:tc>
              <w:tc>
                <w:tcPr>
                  <w:tcW w:w="755" w:type="pct"/>
                  <w:tcBorders>
                    <w:top w:val="nil"/>
                    <w:left w:val="nil"/>
                    <w:bottom w:val="single" w:color="000000" w:sz="4" w:space="0"/>
                    <w:right w:val="single" w:color="000000" w:sz="4" w:space="0"/>
                  </w:tcBorders>
                  <w:shd w:val="clear" w:color="FFFFFF" w:fill="FFFFFF"/>
                  <w:vAlign w:val="center"/>
                </w:tcPr>
                <w:p w14:paraId="28C0BE3C">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3D211BFE">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shd w:val="clear" w:color="FFFFFF" w:fill="FFFFFF"/>
                  <w:vAlign w:val="center"/>
                </w:tcPr>
                <w:p w14:paraId="39C2741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智能温湿度数据采集模块</w:t>
                  </w:r>
                </w:p>
              </w:tc>
              <w:tc>
                <w:tcPr>
                  <w:tcW w:w="1370" w:type="pct"/>
                  <w:tcBorders>
                    <w:top w:val="nil"/>
                    <w:left w:val="nil"/>
                    <w:bottom w:val="single" w:color="000000" w:sz="4" w:space="0"/>
                    <w:right w:val="single" w:color="000000" w:sz="4" w:space="0"/>
                  </w:tcBorders>
                  <w:shd w:val="clear" w:color="FFFFFF" w:fill="FFFFFF"/>
                  <w:vAlign w:val="center"/>
                </w:tcPr>
                <w:p w14:paraId="73ED723F">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SNS-3</w:t>
                  </w:r>
                </w:p>
              </w:tc>
              <w:tc>
                <w:tcPr>
                  <w:tcW w:w="523" w:type="pct"/>
                  <w:tcBorders>
                    <w:top w:val="nil"/>
                    <w:left w:val="nil"/>
                    <w:bottom w:val="single" w:color="000000" w:sz="4" w:space="0"/>
                    <w:right w:val="single" w:color="000000" w:sz="4" w:space="0"/>
                  </w:tcBorders>
                  <w:shd w:val="clear" w:color="FFFFFF" w:fill="FFFFFF"/>
                  <w:vAlign w:val="center"/>
                </w:tcPr>
                <w:p w14:paraId="7744C26F">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shd w:val="clear" w:color="FFFFFF" w:fill="FFFFFF"/>
                  <w:vAlign w:val="center"/>
                </w:tcPr>
                <w:p w14:paraId="23E41DB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nil"/>
                    <w:left w:val="nil"/>
                    <w:bottom w:val="single" w:color="000000" w:sz="4" w:space="0"/>
                    <w:right w:val="single" w:color="000000" w:sz="4" w:space="0"/>
                  </w:tcBorders>
                  <w:shd w:val="clear" w:color="FFFFFF" w:fill="FFFFFF"/>
                  <w:vAlign w:val="center"/>
                </w:tcPr>
                <w:p w14:paraId="015536B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03805E7A">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shd w:val="clear" w:color="FFFFFF" w:fill="FFFFFF"/>
                  <w:vAlign w:val="center"/>
                </w:tcPr>
                <w:p w14:paraId="3A3BAF60">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温湿度监控软件开发接入模块</w:t>
                  </w:r>
                </w:p>
              </w:tc>
              <w:tc>
                <w:tcPr>
                  <w:tcW w:w="1370" w:type="pct"/>
                  <w:tcBorders>
                    <w:top w:val="nil"/>
                    <w:left w:val="nil"/>
                    <w:bottom w:val="single" w:color="000000" w:sz="4" w:space="0"/>
                    <w:right w:val="single" w:color="000000" w:sz="4" w:space="0"/>
                  </w:tcBorders>
                  <w:shd w:val="clear" w:color="FFFFFF" w:fill="FFFFFF"/>
                  <w:vAlign w:val="center"/>
                </w:tcPr>
                <w:p w14:paraId="1EC3BB7C">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DCIM-TH</w:t>
                  </w:r>
                </w:p>
              </w:tc>
              <w:tc>
                <w:tcPr>
                  <w:tcW w:w="523" w:type="pct"/>
                  <w:tcBorders>
                    <w:top w:val="nil"/>
                    <w:left w:val="nil"/>
                    <w:bottom w:val="single" w:color="000000" w:sz="4" w:space="0"/>
                    <w:right w:val="single" w:color="000000" w:sz="4" w:space="0"/>
                  </w:tcBorders>
                  <w:shd w:val="clear" w:color="FFFFFF" w:fill="FFFFFF"/>
                  <w:vAlign w:val="center"/>
                </w:tcPr>
                <w:p w14:paraId="55FC541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shd w:val="clear" w:color="FFFFFF" w:fill="FFFFFF"/>
                  <w:vAlign w:val="center"/>
                </w:tcPr>
                <w:p w14:paraId="4C321014">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nil"/>
                    <w:left w:val="nil"/>
                    <w:bottom w:val="single" w:color="000000" w:sz="4" w:space="0"/>
                    <w:right w:val="single" w:color="000000" w:sz="4" w:space="0"/>
                  </w:tcBorders>
                  <w:shd w:val="clear" w:color="FFFFFF" w:fill="FFFFFF"/>
                  <w:vAlign w:val="center"/>
                </w:tcPr>
                <w:p w14:paraId="379FAB6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29EAA271">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vAlign w:val="center"/>
                </w:tcPr>
                <w:p w14:paraId="6EB514A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水浸传感器</w:t>
                  </w:r>
                </w:p>
              </w:tc>
              <w:tc>
                <w:tcPr>
                  <w:tcW w:w="1370" w:type="pct"/>
                  <w:tcBorders>
                    <w:top w:val="nil"/>
                    <w:left w:val="nil"/>
                    <w:bottom w:val="single" w:color="000000" w:sz="4" w:space="0"/>
                    <w:right w:val="single" w:color="000000" w:sz="4" w:space="0"/>
                  </w:tcBorders>
                  <w:vAlign w:val="center"/>
                </w:tcPr>
                <w:p w14:paraId="33E7576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HW-58</w:t>
                  </w:r>
                </w:p>
              </w:tc>
              <w:tc>
                <w:tcPr>
                  <w:tcW w:w="523" w:type="pct"/>
                  <w:tcBorders>
                    <w:top w:val="nil"/>
                    <w:left w:val="nil"/>
                    <w:bottom w:val="single" w:color="000000" w:sz="4" w:space="0"/>
                    <w:right w:val="single" w:color="000000" w:sz="4" w:space="0"/>
                  </w:tcBorders>
                  <w:vAlign w:val="center"/>
                </w:tcPr>
                <w:p w14:paraId="4D114F4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vAlign w:val="center"/>
                </w:tcPr>
                <w:p w14:paraId="2C1A50F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w:t>
                  </w:r>
                </w:p>
              </w:tc>
              <w:tc>
                <w:tcPr>
                  <w:tcW w:w="755" w:type="pct"/>
                  <w:tcBorders>
                    <w:top w:val="nil"/>
                    <w:left w:val="nil"/>
                    <w:bottom w:val="single" w:color="000000" w:sz="4" w:space="0"/>
                    <w:right w:val="single" w:color="000000" w:sz="4" w:space="0"/>
                  </w:tcBorders>
                  <w:vAlign w:val="center"/>
                </w:tcPr>
                <w:p w14:paraId="08A12A9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0F4B8FCB">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shd w:val="clear" w:color="FFFFFF" w:fill="FFFFFF"/>
                  <w:vAlign w:val="center"/>
                </w:tcPr>
                <w:p w14:paraId="2966918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漏水监控软件开发接入模块</w:t>
                  </w:r>
                </w:p>
              </w:tc>
              <w:tc>
                <w:tcPr>
                  <w:tcW w:w="1370" w:type="pct"/>
                  <w:tcBorders>
                    <w:top w:val="nil"/>
                    <w:left w:val="nil"/>
                    <w:bottom w:val="single" w:color="000000" w:sz="4" w:space="0"/>
                    <w:right w:val="single" w:color="000000" w:sz="4" w:space="0"/>
                  </w:tcBorders>
                  <w:shd w:val="clear" w:color="FFFFFF" w:fill="FFFFFF"/>
                  <w:vAlign w:val="center"/>
                </w:tcPr>
                <w:p w14:paraId="5EE8F48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DCIM-LS</w:t>
                  </w:r>
                </w:p>
              </w:tc>
              <w:tc>
                <w:tcPr>
                  <w:tcW w:w="523" w:type="pct"/>
                  <w:tcBorders>
                    <w:top w:val="nil"/>
                    <w:left w:val="nil"/>
                    <w:bottom w:val="single" w:color="000000" w:sz="4" w:space="0"/>
                    <w:right w:val="single" w:color="000000" w:sz="4" w:space="0"/>
                  </w:tcBorders>
                  <w:shd w:val="clear" w:color="FFFFFF" w:fill="FFFFFF"/>
                  <w:vAlign w:val="center"/>
                </w:tcPr>
                <w:p w14:paraId="29F8CF4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shd w:val="clear" w:color="FFFFFF" w:fill="FFFFFF"/>
                  <w:vAlign w:val="center"/>
                </w:tcPr>
                <w:p w14:paraId="4933DB03">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nil"/>
                    <w:left w:val="nil"/>
                    <w:bottom w:val="single" w:color="000000" w:sz="4" w:space="0"/>
                    <w:right w:val="single" w:color="000000" w:sz="4" w:space="0"/>
                  </w:tcBorders>
                  <w:shd w:val="clear" w:color="FFFFFF" w:fill="FFFFFF"/>
                  <w:vAlign w:val="center"/>
                </w:tcPr>
                <w:p w14:paraId="6565D93B">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20F558B3">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000000" w:sz="4" w:space="0"/>
                    <w:right w:val="single" w:color="000000" w:sz="4" w:space="0"/>
                  </w:tcBorders>
                  <w:shd w:val="clear" w:color="FFFFFF" w:fill="FFFFFF"/>
                  <w:vAlign w:val="center"/>
                </w:tcPr>
                <w:p w14:paraId="60D80CAD">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一体化监控主机</w:t>
                  </w:r>
                </w:p>
              </w:tc>
              <w:tc>
                <w:tcPr>
                  <w:tcW w:w="1370" w:type="pct"/>
                  <w:tcBorders>
                    <w:top w:val="nil"/>
                    <w:left w:val="nil"/>
                    <w:bottom w:val="single" w:color="000000" w:sz="4" w:space="0"/>
                    <w:right w:val="single" w:color="000000" w:sz="4" w:space="0"/>
                  </w:tcBorders>
                  <w:shd w:val="clear" w:color="FFFFFF" w:fill="FFFFFF"/>
                  <w:vAlign w:val="center"/>
                </w:tcPr>
                <w:p w14:paraId="5B6B2FF3">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MU112</w:t>
                  </w:r>
                </w:p>
              </w:tc>
              <w:tc>
                <w:tcPr>
                  <w:tcW w:w="523" w:type="pct"/>
                  <w:tcBorders>
                    <w:top w:val="nil"/>
                    <w:left w:val="nil"/>
                    <w:bottom w:val="single" w:color="000000" w:sz="4" w:space="0"/>
                    <w:right w:val="single" w:color="000000" w:sz="4" w:space="0"/>
                  </w:tcBorders>
                  <w:shd w:val="clear" w:color="FFFFFF" w:fill="FFFFFF"/>
                  <w:vAlign w:val="center"/>
                </w:tcPr>
                <w:p w14:paraId="3A1B54B8">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000000" w:sz="4" w:space="0"/>
                    <w:right w:val="single" w:color="000000" w:sz="4" w:space="0"/>
                  </w:tcBorders>
                  <w:shd w:val="clear" w:color="FFFFFF" w:fill="FFFFFF"/>
                  <w:vAlign w:val="center"/>
                </w:tcPr>
                <w:p w14:paraId="458DEFB5">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nil"/>
                    <w:left w:val="nil"/>
                    <w:bottom w:val="single" w:color="000000" w:sz="4" w:space="0"/>
                    <w:right w:val="single" w:color="000000" w:sz="4" w:space="0"/>
                  </w:tcBorders>
                  <w:shd w:val="clear" w:color="FFFFFF" w:fill="FFFFFF"/>
                  <w:vAlign w:val="center"/>
                </w:tcPr>
                <w:p w14:paraId="7131DCED">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171ABF85">
              <w:tblPrEx>
                <w:tblCellMar>
                  <w:top w:w="0" w:type="dxa"/>
                  <w:left w:w="108" w:type="dxa"/>
                  <w:bottom w:w="0" w:type="dxa"/>
                  <w:right w:w="108" w:type="dxa"/>
                </w:tblCellMar>
              </w:tblPrEx>
              <w:trPr>
                <w:trHeight w:val="504" w:hRule="atLeast"/>
              </w:trPr>
              <w:tc>
                <w:tcPr>
                  <w:tcW w:w="1764" w:type="pct"/>
                  <w:tcBorders>
                    <w:top w:val="nil"/>
                    <w:left w:val="single" w:color="000000" w:sz="4" w:space="0"/>
                    <w:bottom w:val="single" w:color="auto" w:sz="4" w:space="0"/>
                    <w:right w:val="single" w:color="000000" w:sz="4" w:space="0"/>
                  </w:tcBorders>
                  <w:vAlign w:val="center"/>
                </w:tcPr>
                <w:p w14:paraId="7F58946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交换机</w:t>
                  </w:r>
                </w:p>
              </w:tc>
              <w:tc>
                <w:tcPr>
                  <w:tcW w:w="1370" w:type="pct"/>
                  <w:tcBorders>
                    <w:top w:val="nil"/>
                    <w:left w:val="nil"/>
                    <w:bottom w:val="single" w:color="auto" w:sz="4" w:space="0"/>
                    <w:right w:val="single" w:color="000000" w:sz="4" w:space="0"/>
                  </w:tcBorders>
                  <w:vAlign w:val="center"/>
                </w:tcPr>
                <w:p w14:paraId="044146C7">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交换机</w:t>
                  </w:r>
                </w:p>
              </w:tc>
              <w:tc>
                <w:tcPr>
                  <w:tcW w:w="523" w:type="pct"/>
                  <w:tcBorders>
                    <w:top w:val="nil"/>
                    <w:left w:val="nil"/>
                    <w:bottom w:val="single" w:color="auto" w:sz="4" w:space="0"/>
                    <w:right w:val="single" w:color="000000" w:sz="4" w:space="0"/>
                  </w:tcBorders>
                  <w:vAlign w:val="center"/>
                </w:tcPr>
                <w:p w14:paraId="5744E56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nil"/>
                    <w:left w:val="nil"/>
                    <w:bottom w:val="single" w:color="auto" w:sz="4" w:space="0"/>
                    <w:right w:val="single" w:color="000000" w:sz="4" w:space="0"/>
                  </w:tcBorders>
                  <w:vAlign w:val="center"/>
                </w:tcPr>
                <w:p w14:paraId="0920B713">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3</w:t>
                  </w:r>
                </w:p>
              </w:tc>
              <w:tc>
                <w:tcPr>
                  <w:tcW w:w="755" w:type="pct"/>
                  <w:tcBorders>
                    <w:top w:val="nil"/>
                    <w:left w:val="nil"/>
                    <w:bottom w:val="single" w:color="auto" w:sz="4" w:space="0"/>
                    <w:right w:val="single" w:color="000000" w:sz="4" w:space="0"/>
                  </w:tcBorders>
                  <w:vAlign w:val="center"/>
                </w:tcPr>
                <w:p w14:paraId="471BF88B">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国优</w:t>
                  </w:r>
                </w:p>
              </w:tc>
            </w:tr>
            <w:tr w14:paraId="077C9913">
              <w:tblPrEx>
                <w:tblCellMar>
                  <w:top w:w="0" w:type="dxa"/>
                  <w:left w:w="108" w:type="dxa"/>
                  <w:bottom w:w="0" w:type="dxa"/>
                  <w:right w:w="108" w:type="dxa"/>
                </w:tblCellMar>
              </w:tblPrEx>
              <w:trPr>
                <w:trHeight w:val="504" w:hRule="atLeast"/>
              </w:trPr>
              <w:tc>
                <w:tcPr>
                  <w:tcW w:w="1764" w:type="pct"/>
                  <w:tcBorders>
                    <w:top w:val="single" w:color="auto" w:sz="4" w:space="0"/>
                    <w:left w:val="single" w:color="auto" w:sz="4" w:space="0"/>
                    <w:bottom w:val="single" w:color="auto" w:sz="4" w:space="0"/>
                    <w:right w:val="single" w:color="auto" w:sz="4" w:space="0"/>
                  </w:tcBorders>
                  <w:shd w:val="clear" w:color="FFFFFF" w:fill="FFFFFF"/>
                  <w:vAlign w:val="center"/>
                </w:tcPr>
                <w:p w14:paraId="78320EAE">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网络型数据采集机</w:t>
                  </w:r>
                </w:p>
              </w:tc>
              <w:tc>
                <w:tcPr>
                  <w:tcW w:w="1370" w:type="pct"/>
                  <w:tcBorders>
                    <w:top w:val="single" w:color="auto" w:sz="4" w:space="0"/>
                    <w:left w:val="single" w:color="auto" w:sz="4" w:space="0"/>
                    <w:bottom w:val="single" w:color="auto" w:sz="4" w:space="0"/>
                    <w:right w:val="single" w:color="auto" w:sz="4" w:space="0"/>
                  </w:tcBorders>
                  <w:shd w:val="clear" w:color="FFFFFF" w:fill="FFFFFF"/>
                  <w:vAlign w:val="center"/>
                </w:tcPr>
                <w:p w14:paraId="336A205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OMM2008</w:t>
                  </w:r>
                </w:p>
              </w:tc>
              <w:tc>
                <w:tcPr>
                  <w:tcW w:w="523" w:type="pct"/>
                  <w:tcBorders>
                    <w:top w:val="single" w:color="auto" w:sz="4" w:space="0"/>
                    <w:left w:val="single" w:color="auto" w:sz="4" w:space="0"/>
                    <w:bottom w:val="single" w:color="auto" w:sz="4" w:space="0"/>
                    <w:right w:val="single" w:color="auto" w:sz="4" w:space="0"/>
                  </w:tcBorders>
                  <w:shd w:val="clear" w:color="FFFFFF" w:fill="FFFFFF"/>
                  <w:vAlign w:val="center"/>
                </w:tcPr>
                <w:p w14:paraId="0967C8FB">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single" w:color="auto" w:sz="4" w:space="0"/>
                    <w:left w:val="single" w:color="auto" w:sz="4" w:space="0"/>
                    <w:bottom w:val="single" w:color="auto" w:sz="4" w:space="0"/>
                    <w:right w:val="single" w:color="auto" w:sz="4" w:space="0"/>
                  </w:tcBorders>
                  <w:shd w:val="clear" w:color="FFFFFF" w:fill="FFFFFF"/>
                  <w:vAlign w:val="center"/>
                </w:tcPr>
                <w:p w14:paraId="6D960612">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w:t>
                  </w:r>
                </w:p>
              </w:tc>
              <w:tc>
                <w:tcPr>
                  <w:tcW w:w="755" w:type="pct"/>
                  <w:tcBorders>
                    <w:top w:val="single" w:color="auto" w:sz="4" w:space="0"/>
                    <w:left w:val="single" w:color="auto" w:sz="4" w:space="0"/>
                    <w:bottom w:val="single" w:color="auto" w:sz="4" w:space="0"/>
                    <w:right w:val="single" w:color="auto" w:sz="4" w:space="0"/>
                  </w:tcBorders>
                  <w:shd w:val="clear" w:color="FFFFFF" w:fill="FFFFFF"/>
                  <w:vAlign w:val="center"/>
                </w:tcPr>
                <w:p w14:paraId="2F73C5EB">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50F543AD">
              <w:tblPrEx>
                <w:tblCellMar>
                  <w:top w:w="0" w:type="dxa"/>
                  <w:left w:w="108" w:type="dxa"/>
                  <w:bottom w:w="0" w:type="dxa"/>
                  <w:right w:w="108" w:type="dxa"/>
                </w:tblCellMar>
              </w:tblPrEx>
              <w:trPr>
                <w:trHeight w:val="504" w:hRule="atLeast"/>
              </w:trPr>
              <w:tc>
                <w:tcPr>
                  <w:tcW w:w="1764" w:type="pct"/>
                  <w:tcBorders>
                    <w:top w:val="single" w:color="auto" w:sz="4" w:space="0"/>
                    <w:left w:val="single" w:color="auto" w:sz="4" w:space="0"/>
                    <w:bottom w:val="single" w:color="auto" w:sz="4" w:space="0"/>
                    <w:right w:val="single" w:color="auto" w:sz="4" w:space="0"/>
                  </w:tcBorders>
                  <w:shd w:val="clear" w:color="FFFFFF" w:fill="FFFFFF"/>
                  <w:vAlign w:val="center"/>
                </w:tcPr>
                <w:p w14:paraId="52091311">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传感器适配器</w:t>
                  </w:r>
                </w:p>
              </w:tc>
              <w:tc>
                <w:tcPr>
                  <w:tcW w:w="1370" w:type="pct"/>
                  <w:tcBorders>
                    <w:top w:val="single" w:color="auto" w:sz="4" w:space="0"/>
                    <w:left w:val="single" w:color="auto" w:sz="4" w:space="0"/>
                    <w:bottom w:val="single" w:color="auto" w:sz="4" w:space="0"/>
                    <w:right w:val="single" w:color="auto" w:sz="4" w:space="0"/>
                  </w:tcBorders>
                  <w:shd w:val="clear" w:color="FFFFFF" w:fill="FFFFFF"/>
                  <w:vAlign w:val="center"/>
                </w:tcPr>
                <w:p w14:paraId="412D509D">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PT-DAC</w:t>
                  </w:r>
                </w:p>
              </w:tc>
              <w:tc>
                <w:tcPr>
                  <w:tcW w:w="523" w:type="pct"/>
                  <w:tcBorders>
                    <w:top w:val="single" w:color="auto" w:sz="4" w:space="0"/>
                    <w:left w:val="single" w:color="auto" w:sz="4" w:space="0"/>
                    <w:bottom w:val="single" w:color="auto" w:sz="4" w:space="0"/>
                    <w:right w:val="single" w:color="auto" w:sz="4" w:space="0"/>
                  </w:tcBorders>
                  <w:shd w:val="clear" w:color="FFFFFF" w:fill="FFFFFF"/>
                  <w:vAlign w:val="center"/>
                </w:tcPr>
                <w:p w14:paraId="027A5DEC">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single" w:color="auto" w:sz="4" w:space="0"/>
                    <w:left w:val="single" w:color="auto" w:sz="4" w:space="0"/>
                    <w:bottom w:val="single" w:color="auto" w:sz="4" w:space="0"/>
                    <w:right w:val="single" w:color="auto" w:sz="4" w:space="0"/>
                  </w:tcBorders>
                  <w:shd w:val="clear" w:color="FFFFFF" w:fill="FFFFFF"/>
                  <w:vAlign w:val="center"/>
                </w:tcPr>
                <w:p w14:paraId="2B71D3C5">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w:t>
                  </w:r>
                </w:p>
              </w:tc>
              <w:tc>
                <w:tcPr>
                  <w:tcW w:w="755" w:type="pct"/>
                  <w:tcBorders>
                    <w:top w:val="single" w:color="auto" w:sz="4" w:space="0"/>
                    <w:left w:val="single" w:color="auto" w:sz="4" w:space="0"/>
                    <w:bottom w:val="single" w:color="auto" w:sz="4" w:space="0"/>
                    <w:right w:val="single" w:color="auto" w:sz="4" w:space="0"/>
                  </w:tcBorders>
                  <w:shd w:val="clear" w:color="FFFFFF" w:fill="FFFFFF"/>
                  <w:vAlign w:val="center"/>
                </w:tcPr>
                <w:p w14:paraId="48D5E66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伊顿</w:t>
                  </w:r>
                </w:p>
              </w:tc>
            </w:tr>
            <w:tr w14:paraId="2235CD44">
              <w:tblPrEx>
                <w:tblCellMar>
                  <w:top w:w="0" w:type="dxa"/>
                  <w:left w:w="108" w:type="dxa"/>
                  <w:bottom w:w="0" w:type="dxa"/>
                  <w:right w:w="108" w:type="dxa"/>
                </w:tblCellMar>
              </w:tblPrEx>
              <w:trPr>
                <w:trHeight w:val="504" w:hRule="atLeast"/>
              </w:trPr>
              <w:tc>
                <w:tcPr>
                  <w:tcW w:w="1764" w:type="pct"/>
                  <w:tcBorders>
                    <w:top w:val="single" w:color="auto" w:sz="4" w:space="0"/>
                    <w:left w:val="single" w:color="auto" w:sz="4" w:space="0"/>
                    <w:bottom w:val="single" w:color="auto" w:sz="4" w:space="0"/>
                    <w:right w:val="single" w:color="auto" w:sz="4" w:space="0"/>
                  </w:tcBorders>
                  <w:shd w:val="clear" w:color="FFFFFF" w:fill="FFFFFF"/>
                  <w:vAlign w:val="center"/>
                </w:tcPr>
                <w:p w14:paraId="6C323583">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精密空调</w:t>
                  </w:r>
                </w:p>
              </w:tc>
              <w:tc>
                <w:tcPr>
                  <w:tcW w:w="1370" w:type="pct"/>
                  <w:tcBorders>
                    <w:top w:val="single" w:color="auto" w:sz="4" w:space="0"/>
                    <w:left w:val="single" w:color="auto" w:sz="4" w:space="0"/>
                    <w:bottom w:val="single" w:color="auto" w:sz="4" w:space="0"/>
                    <w:right w:val="single" w:color="auto" w:sz="4" w:space="0"/>
                  </w:tcBorders>
                  <w:shd w:val="clear" w:color="FFFFFF" w:fill="FFFFFF"/>
                  <w:vAlign w:val="center"/>
                </w:tcPr>
                <w:p w14:paraId="5D3BD17B">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MEAD251</w:t>
                  </w:r>
                </w:p>
              </w:tc>
              <w:tc>
                <w:tcPr>
                  <w:tcW w:w="523" w:type="pct"/>
                  <w:tcBorders>
                    <w:top w:val="single" w:color="auto" w:sz="4" w:space="0"/>
                    <w:left w:val="single" w:color="auto" w:sz="4" w:space="0"/>
                    <w:bottom w:val="single" w:color="auto" w:sz="4" w:space="0"/>
                    <w:right w:val="single" w:color="auto" w:sz="4" w:space="0"/>
                  </w:tcBorders>
                  <w:shd w:val="clear" w:color="FFFFFF" w:fill="FFFFFF"/>
                  <w:vAlign w:val="center"/>
                </w:tcPr>
                <w:p w14:paraId="5AE0554A">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台</w:t>
                  </w:r>
                </w:p>
              </w:tc>
              <w:tc>
                <w:tcPr>
                  <w:tcW w:w="586" w:type="pct"/>
                  <w:tcBorders>
                    <w:top w:val="single" w:color="auto" w:sz="4" w:space="0"/>
                    <w:left w:val="single" w:color="auto" w:sz="4" w:space="0"/>
                    <w:bottom w:val="single" w:color="auto" w:sz="4" w:space="0"/>
                    <w:right w:val="single" w:color="auto" w:sz="4" w:space="0"/>
                  </w:tcBorders>
                  <w:shd w:val="clear" w:color="FFFFFF" w:fill="FFFFFF"/>
                  <w:vAlign w:val="center"/>
                </w:tcPr>
                <w:p w14:paraId="6B34F084">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w:t>
                  </w:r>
                </w:p>
              </w:tc>
              <w:tc>
                <w:tcPr>
                  <w:tcW w:w="755" w:type="pct"/>
                  <w:tcBorders>
                    <w:top w:val="single" w:color="auto" w:sz="4" w:space="0"/>
                    <w:left w:val="single" w:color="auto" w:sz="4" w:space="0"/>
                    <w:bottom w:val="single" w:color="auto" w:sz="4" w:space="0"/>
                    <w:right w:val="single" w:color="auto" w:sz="4" w:space="0"/>
                  </w:tcBorders>
                  <w:shd w:val="clear" w:color="FFFFFF" w:fill="FFFFFF"/>
                  <w:vAlign w:val="center"/>
                </w:tcPr>
                <w:p w14:paraId="68FBE2B9">
                  <w:pPr>
                    <w:ind w:firstLine="0" w:firstLineChars="0"/>
                    <w:jc w:val="center"/>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佳力图</w:t>
                  </w:r>
                </w:p>
              </w:tc>
            </w:tr>
          </w:tbl>
          <w:p w14:paraId="151A09EF">
            <w:pPr>
              <w:pStyle w:val="17"/>
              <w:ind w:firstLine="482" w:firstLineChars="200"/>
              <w:rPr>
                <w:rFonts w:asciiTheme="minorEastAsia" w:hAnsiTheme="minorEastAsia" w:eastAsiaTheme="minorEastAsia" w:cstheme="minorEastAsia"/>
                <w:b/>
                <w:szCs w:val="24"/>
              </w:rPr>
            </w:pPr>
            <w:r>
              <w:rPr>
                <w:rFonts w:hint="eastAsia" w:asciiTheme="minorEastAsia" w:hAnsiTheme="minorEastAsia" w:eastAsiaTheme="minorEastAsia" w:cstheme="minorEastAsia"/>
                <w:b/>
                <w:szCs w:val="24"/>
              </w:rPr>
              <w:t>2、技术要求</w:t>
            </w:r>
          </w:p>
          <w:p w14:paraId="22FBDF1B">
            <w:pPr>
              <w:rPr>
                <w:rFonts w:asciiTheme="minorEastAsia" w:hAnsiTheme="minorEastAsia" w:cstheme="minorEastAsia"/>
                <w:b/>
                <w:color w:val="0000FF"/>
                <w:spacing w:val="8"/>
                <w:sz w:val="24"/>
                <w:szCs w:val="24"/>
              </w:rPr>
            </w:pPr>
            <w:r>
              <w:rPr>
                <w:rFonts w:hint="eastAsia" w:asciiTheme="minorEastAsia" w:hAnsiTheme="minorEastAsia" w:cstheme="minorEastAsia"/>
                <w:b/>
                <w:color w:val="0000FF"/>
                <w:spacing w:val="8"/>
                <w:sz w:val="24"/>
                <w:szCs w:val="24"/>
              </w:rPr>
              <w:t>2.1配电箱（柜）维保方法</w:t>
            </w:r>
          </w:p>
          <w:p w14:paraId="33AADB03">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定期预防性维护，定期巡检和故障排除，设备保养与服务；维护期内对配电系统涵盖的所有设备、设施、附件以及相连接线缆发生的任何问题、故障和隐患进行必要的检修和故障恢复。</w:t>
            </w:r>
          </w:p>
          <w:p w14:paraId="3CA0D184">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开展每年不低于12次（每月1次）例行巡检，检查设备、系统运行状况，记录检测巡视结果并提供巡检报告，并根据设备情况，做相应维护措施。</w:t>
            </w:r>
          </w:p>
          <w:p w14:paraId="00927D1D">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完成设备表面及直观部位清洁；检查控制面板设定、控制是否正常，观察显示面板空调运行参数值是否都处于正常范围之内，在显示屏上是否出现故障或报警信息。</w:t>
            </w:r>
          </w:p>
          <w:p w14:paraId="0ED671F1">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完成在系统正常运行下出现故障所需的维修维护。</w:t>
            </w:r>
          </w:p>
          <w:p w14:paraId="53DDEB10">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检查所有电气连接，以确保所有连接处是否紧固，有无松动。</w:t>
            </w:r>
          </w:p>
          <w:p w14:paraId="038FB938">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根据配电箱/柜设备运行环境和运行年限，定期对配电箱/柜内部及外部连接线缆做相应清洁，如接触器、开关、线包等设备件的维护。</w:t>
            </w:r>
          </w:p>
          <w:p w14:paraId="3BC14075">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记录所有运行数据和环境参数，包括：测量各回路电流、电压和零地电压。</w:t>
            </w:r>
          </w:p>
          <w:p w14:paraId="7FD29B4C">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检查所有连接回路线缆，确保所有绝缘层正常，无老化脱落或破损现象，以及确保所有连接线缆表面无过温等现象。</w:t>
            </w:r>
          </w:p>
          <w:p w14:paraId="4D9CA7CC">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检查并制作所有连接回路线缆标签标识。</w:t>
            </w:r>
          </w:p>
          <w:p w14:paraId="0DDE1A40">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定期巡视检测设备安装支架，连接线缆桥架固定情况，以确保连接线缆安全。</w:t>
            </w:r>
          </w:p>
          <w:p w14:paraId="1CA1B443">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检查配电箱/柜内过压保护装置，保护功能是否正常，如保护失效应立即更换相应规格型号的新过压保护装置，并书面告知采购人进行备案登记。</w:t>
            </w:r>
          </w:p>
          <w:p w14:paraId="028D2BDC">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配电箱/柜及连接线缆所有零部件在正常使用下发生损坏，进行免费更换或维修，所需更换备件一律使用原厂家标配备件。</w:t>
            </w:r>
          </w:p>
          <w:p w14:paraId="7CD84F44">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在对机房进行正常供电时突发故障后，在接到通知后派电力专业工程师立即电话进行技术支持，并在最短时间内到达现场排除故障，如不能立即处理，应立即根据实际情况组织调动人力、物力进行抢修。</w:t>
            </w:r>
          </w:p>
          <w:p w14:paraId="1165D453">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进行维护保养服务时应在经采购方相关部门负责人同意后在采购人有关人员陪同下进行，并做好和提供维护保养相关记录，由双方技术人员签字并存档。工作技术人员维护保养时，应遵守现场有关管理规定，遵守保密规则，服从采购人管理。</w:t>
            </w:r>
          </w:p>
          <w:p w14:paraId="0A8F3EDC">
            <w:pPr>
              <w:rPr>
                <w:rFonts w:asciiTheme="minorEastAsia" w:hAnsiTheme="minorEastAsia" w:cstheme="minorEastAsia"/>
                <w:b/>
                <w:color w:val="0000FF"/>
                <w:spacing w:val="8"/>
                <w:sz w:val="24"/>
                <w:szCs w:val="24"/>
              </w:rPr>
            </w:pPr>
            <w:r>
              <w:rPr>
                <w:rFonts w:hint="eastAsia" w:asciiTheme="minorEastAsia" w:hAnsiTheme="minorEastAsia" w:cstheme="minorEastAsia"/>
                <w:b/>
                <w:color w:val="0000FF"/>
                <w:spacing w:val="8"/>
                <w:sz w:val="24"/>
                <w:szCs w:val="24"/>
              </w:rPr>
              <w:t>2.2 UPS系统</w:t>
            </w:r>
          </w:p>
          <w:p w14:paraId="346B3512">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定期预防性维护，定期巡检和故障排除，设备保养与服务；维护期内对UPS电源系统涵盖的所有设备、设施、附件以及相关连接线缆发生的任何问题、故障和隐患进行必要的检修和故障恢复。</w:t>
            </w:r>
          </w:p>
          <w:p w14:paraId="0FDFC165">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合同签订后5个工作日内需对本次项目维护保养的UPS电源主机进行深度评估检测并对有异常的易损件及时进行更换。</w:t>
            </w:r>
          </w:p>
          <w:p w14:paraId="160AE89B">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提供全面的阶段性巡检，每年不低于12次，每月至少巡检一次，检查设备、系统运行状况，记录检测巡视结果并提供巡检报告，并根据设备情况，做相应维护措施。</w:t>
            </w:r>
          </w:p>
          <w:p w14:paraId="3B8A3C87">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设备表面及直观部位清洁；控制面板设定、控制是否正常，观察显示面板运行参数值是否都处于正常范围之内，在显示屏上是否出现故障或报警信息。</w:t>
            </w:r>
          </w:p>
          <w:p w14:paraId="4140E60D">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在系统正常运行下出现故障所需的维修维护。</w:t>
            </w:r>
          </w:p>
          <w:p w14:paraId="71C666D9">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检查所有电气连接，以确保所有连接处紧固，无松动，并定期进行放电检测。</w:t>
            </w:r>
          </w:p>
          <w:p w14:paraId="636482C6">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检测电池运行的转换是否正常。</w:t>
            </w:r>
          </w:p>
          <w:p w14:paraId="21F9CE28">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检测内部静态旁路是否正常。</w:t>
            </w:r>
          </w:p>
          <w:p w14:paraId="0766A169">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检查UPS主机内所有电气元件，如有异常或原厂对其有年限要求的器件，根据检查情况进行更换。</w:t>
            </w:r>
          </w:p>
          <w:p w14:paraId="074AFA90">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检查内部所有控制线路及带电线路是否绝缘良好</w:t>
            </w:r>
          </w:p>
          <w:p w14:paraId="627B0961">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检查UPS运行参数与显示参数是否一致</w:t>
            </w:r>
          </w:p>
          <w:p w14:paraId="2523A861">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记录所有显示数据和环境参数，包括：测量进线负载电流和接地电流。</w:t>
            </w:r>
          </w:p>
          <w:p w14:paraId="63FF586B">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进行蓄电池参数测试，用专用电池测量仪表，测量每块蓄电池的电压、内阻等参数。</w:t>
            </w:r>
          </w:p>
          <w:p w14:paraId="55EFF023">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根据记录情况进行预防性维护。</w:t>
            </w:r>
          </w:p>
          <w:p w14:paraId="70DC64CD">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清理内部灰尘杂质。</w:t>
            </w:r>
          </w:p>
          <w:p w14:paraId="5213F080">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在对机房进行正常供电时突发故障后，在接到通知后立即派UPS专业认证工程师立即电话进行技术支持，并在最短时间内到达现场排除故障，如不能立即处理，立即根据实际情况组织调动人力、物力进行抢修。</w:t>
            </w:r>
          </w:p>
          <w:p w14:paraId="61FE4B38">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进行维护保养服务时应在经采购方相关部门负责人同意后在采购人有关人员陪同下进行，并做好和提供维护保养相关记录，由双方技术人员签字并存档。工作技术人员维护保养时，应遵守现场有关管理规定，遵守保密规则，服从采购人管理。</w:t>
            </w:r>
          </w:p>
          <w:p w14:paraId="56B66C4F">
            <w:pPr>
              <w:pStyle w:val="17"/>
              <w:ind w:firstLine="424"/>
              <w:rPr>
                <w:rFonts w:hint="eastAsia" w:asciiTheme="minorEastAsia" w:hAnsiTheme="minorEastAsia" w:eastAsiaTheme="minorEastAsia" w:cstheme="minorEastAsia"/>
                <w:b/>
                <w:color w:val="0000FF"/>
                <w:spacing w:val="8"/>
                <w:szCs w:val="24"/>
                <w:highlight w:val="yellow"/>
                <w:lang w:eastAsia="zh-CN"/>
              </w:rPr>
            </w:pPr>
            <w:r>
              <w:rPr>
                <w:rFonts w:hint="eastAsia" w:asciiTheme="minorEastAsia" w:hAnsiTheme="minorEastAsia" w:eastAsiaTheme="minorEastAsia" w:cstheme="minorEastAsia"/>
                <w:b/>
                <w:szCs w:val="24"/>
                <w:highlight w:val="yellow"/>
              </w:rPr>
              <w:t>2.3蓄电池更换要求</w:t>
            </w:r>
          </w:p>
          <w:p w14:paraId="5E8EE42F">
            <w:pPr>
              <w:ind w:firstLine="451"/>
              <w:rPr>
                <w:rFonts w:hint="eastAsia" w:asciiTheme="minorEastAsia" w:hAnsiTheme="minorEastAsia" w:cstheme="minorEastAsia"/>
                <w:spacing w:val="8"/>
                <w:sz w:val="24"/>
                <w:szCs w:val="24"/>
                <w:lang w:val="en-US" w:eastAsia="zh-CN"/>
              </w:rPr>
            </w:pPr>
            <w:r>
              <w:rPr>
                <w:rFonts w:hint="eastAsia" w:asciiTheme="minorEastAsia" w:hAnsiTheme="minorEastAsia" w:cstheme="minorEastAsia"/>
                <w:spacing w:val="8"/>
                <w:sz w:val="24"/>
                <w:szCs w:val="24"/>
                <w:lang w:val="en-US" w:eastAsia="zh-CN"/>
              </w:rPr>
              <w:t>1.更换安防机房42只蓄电池（原厂电池）包含</w:t>
            </w:r>
            <w:r>
              <w:rPr>
                <w:rFonts w:hint="eastAsia" w:asciiTheme="minorEastAsia" w:hAnsiTheme="minorEastAsia" w:cstheme="minorEastAsia"/>
                <w:color w:val="000000" w:themeColor="text1"/>
                <w:sz w:val="24"/>
                <w:szCs w:val="24"/>
                <w14:textFill>
                  <w14:solidFill>
                    <w14:schemeClr w14:val="tx1"/>
                  </w14:solidFill>
                </w14:textFill>
              </w:rPr>
              <w:t>电池与电池之间连接线</w:t>
            </w:r>
            <w:r>
              <w:rPr>
                <w:rFonts w:hint="eastAsia" w:asciiTheme="minorEastAsia" w:hAnsiTheme="minorEastAsia" w:cstheme="minorEastAsia"/>
                <w:spacing w:val="8"/>
                <w:sz w:val="24"/>
                <w:szCs w:val="24"/>
                <w:lang w:val="en-US" w:eastAsia="zh-CN"/>
              </w:rPr>
              <w:t>，单体电池电压：12V，容量120Ah；电池本身能承受50kPa的正压或负压而不破裂、不开胶，压力释放后壳体无残余变形；单体电池静置 28 天后容量保存率应≥96％；有防爆性能，充电过程中遇明火，内部应不引燃、引爆；内阻实测值≤3mΩ；同组蓄电池内阻偏差应≤15%；同组蓄电池10h率容量试验时，最大实际容量与最小实际容量差值应≤5%。</w:t>
            </w:r>
          </w:p>
          <w:p w14:paraId="42318E97">
            <w:pPr>
              <w:ind w:firstLine="451"/>
              <w:rPr>
                <w:rFonts w:hint="eastAsia" w:asciiTheme="minorEastAsia" w:hAnsiTheme="minorEastAsia" w:cstheme="minorEastAsia"/>
                <w:spacing w:val="8"/>
                <w:sz w:val="24"/>
                <w:szCs w:val="24"/>
                <w:lang w:val="en-US" w:eastAsia="zh-CN"/>
              </w:rPr>
            </w:pPr>
            <w:r>
              <w:rPr>
                <w:rFonts w:hint="eastAsia" w:asciiTheme="minorEastAsia" w:hAnsiTheme="minorEastAsia" w:cstheme="minorEastAsia"/>
                <w:spacing w:val="8"/>
                <w:sz w:val="24"/>
                <w:szCs w:val="24"/>
                <w:lang w:val="en-US" w:eastAsia="zh-CN"/>
              </w:rPr>
              <w:t>2.更换的新电池外观尺寸需要满足现有电池架的规格摆放。因在机房内，不得另行施工改造（现场核实尺寸）；蓄电池外观不得有变形、漏液、裂纹及污迹。铭牌信息应包含：产品名称、产品型号、容量、生产单位、生产地址等信息;本项目包含电池搬运，安装（电池连接线缆）。</w:t>
            </w:r>
          </w:p>
          <w:p w14:paraId="73951282">
            <w:pPr>
              <w:ind w:firstLine="451"/>
              <w:rPr>
                <w:rFonts w:hint="eastAsia" w:asciiTheme="minorEastAsia" w:hAnsiTheme="minorEastAsia" w:cstheme="minorEastAsia"/>
                <w:spacing w:val="8"/>
                <w:sz w:val="24"/>
                <w:szCs w:val="24"/>
                <w:lang w:val="en-US" w:eastAsia="zh-CN"/>
              </w:rPr>
            </w:pPr>
            <w:r>
              <w:rPr>
                <w:rFonts w:hint="eastAsia" w:asciiTheme="minorEastAsia" w:hAnsiTheme="minorEastAsia" w:cstheme="minorEastAsia"/>
                <w:spacing w:val="8"/>
                <w:sz w:val="24"/>
                <w:szCs w:val="24"/>
                <w:lang w:val="en-US" w:eastAsia="zh-CN"/>
              </w:rPr>
              <w:t>3.取得国家职业健康安全管理体系认证证书ISO45001、质量管理体系认证证书ISO19001、环境管理体系认证证书ISO14001三体系认证证书;泰尔认证证书和泰尔检测报告，国家相关质检部门抽检合格的产品检验报告。</w:t>
            </w:r>
          </w:p>
          <w:p w14:paraId="68EF1D81">
            <w:pPr>
              <w:ind w:firstLine="451"/>
              <w:rPr>
                <w:rFonts w:hint="eastAsia" w:asciiTheme="minorEastAsia" w:hAnsiTheme="minorEastAsia" w:cstheme="minorEastAsia"/>
                <w:spacing w:val="8"/>
                <w:sz w:val="24"/>
                <w:szCs w:val="24"/>
                <w:lang w:val="en-US" w:eastAsia="zh-CN"/>
              </w:rPr>
            </w:pPr>
            <w:r>
              <w:rPr>
                <w:rFonts w:hint="eastAsia" w:asciiTheme="minorEastAsia" w:hAnsiTheme="minorEastAsia" w:cstheme="minorEastAsia"/>
                <w:spacing w:val="8"/>
                <w:sz w:val="24"/>
                <w:szCs w:val="24"/>
                <w:lang w:val="en-US" w:eastAsia="zh-CN"/>
              </w:rPr>
              <w:t>4.蓄电池必须为出厂日期3个月（含）以内的全新合格产品,并提供蓄电池不低于6年原厂售后服务承诺函。</w:t>
            </w:r>
          </w:p>
          <w:p w14:paraId="127E95DC">
            <w:pPr>
              <w:ind w:firstLine="451"/>
              <w:rPr>
                <w:rFonts w:hint="eastAsia" w:asciiTheme="minorEastAsia" w:hAnsiTheme="minorEastAsia" w:cstheme="minorEastAsia"/>
                <w:spacing w:val="8"/>
                <w:sz w:val="24"/>
                <w:szCs w:val="24"/>
                <w:lang w:val="en-US" w:eastAsia="zh-CN"/>
              </w:rPr>
            </w:pPr>
            <w:r>
              <w:rPr>
                <w:rFonts w:hint="eastAsia" w:asciiTheme="minorEastAsia" w:hAnsiTheme="minorEastAsia" w:cstheme="minorEastAsia"/>
                <w:spacing w:val="8"/>
                <w:sz w:val="24"/>
                <w:szCs w:val="24"/>
                <w:lang w:val="en-US" w:eastAsia="zh-CN"/>
              </w:rPr>
              <w:t>5.蓄电池更换要求及时间：须完成旧电池拆除，不停机更换新电池，若在施工作业中由于参与人的原因造成UPS输出断电，所有直接责任和直接损失均由参与人承担（我院有追偿的权力），更换蓄电池时间为我院指定时间，接驳过程的所需材料不另计费用，包含搬运，人工等所有费用。</w:t>
            </w:r>
          </w:p>
          <w:p w14:paraId="6EFC141A">
            <w:pPr>
              <w:ind w:firstLine="451"/>
              <w:rPr>
                <w:rFonts w:hint="eastAsia" w:asciiTheme="minorEastAsia" w:hAnsiTheme="minorEastAsia" w:cstheme="minorEastAsia"/>
                <w:spacing w:val="8"/>
                <w:sz w:val="24"/>
                <w:szCs w:val="24"/>
                <w:lang w:val="en-US" w:eastAsia="zh-CN"/>
              </w:rPr>
            </w:pPr>
            <w:r>
              <w:rPr>
                <w:rFonts w:hint="eastAsia" w:asciiTheme="minorEastAsia" w:hAnsiTheme="minorEastAsia" w:cstheme="minorEastAsia"/>
                <w:spacing w:val="8"/>
                <w:sz w:val="24"/>
                <w:szCs w:val="24"/>
                <w:lang w:val="en-US" w:eastAsia="zh-CN"/>
              </w:rPr>
              <w:t>6.参与人负责旧电池的回收（参与公司需要提供相关资质证明）,旧电池采用以旧换新的方式直接抵扣新电池售价，阳光推介文件上体现旧电池回收价格。</w:t>
            </w:r>
          </w:p>
          <w:p w14:paraId="6239F626">
            <w:pPr>
              <w:ind w:firstLine="451"/>
              <w:rPr>
                <w:rFonts w:hint="eastAsia" w:asciiTheme="minorEastAsia" w:hAnsiTheme="minorEastAsia" w:cstheme="minorEastAsia"/>
                <w:b/>
                <w:bCs/>
                <w:spacing w:val="8"/>
                <w:sz w:val="24"/>
                <w:szCs w:val="24"/>
              </w:rPr>
            </w:pPr>
            <w:r>
              <w:rPr>
                <w:rFonts w:hint="eastAsia" w:asciiTheme="minorEastAsia" w:hAnsiTheme="minorEastAsia" w:cstheme="minorEastAsia"/>
                <w:spacing w:val="8"/>
                <w:sz w:val="24"/>
                <w:szCs w:val="24"/>
                <w:lang w:val="en-US" w:eastAsia="zh-CN"/>
              </w:rPr>
              <w:t>7.</w:t>
            </w:r>
            <w:r>
              <w:rPr>
                <w:rFonts w:hint="eastAsia" w:asciiTheme="minorEastAsia" w:hAnsiTheme="minorEastAsia" w:cstheme="minorEastAsia"/>
                <w:b/>
                <w:bCs/>
                <w:spacing w:val="8"/>
                <w:sz w:val="24"/>
                <w:szCs w:val="24"/>
              </w:rPr>
              <w:t>投标蓄电池按厂方标准免费保修</w:t>
            </w:r>
            <w:r>
              <w:rPr>
                <w:rFonts w:hint="eastAsia" w:asciiTheme="minorEastAsia" w:hAnsiTheme="minorEastAsia" w:cstheme="minorEastAsia"/>
                <w:b/>
                <w:bCs/>
                <w:spacing w:val="8"/>
                <w:sz w:val="24"/>
                <w:szCs w:val="24"/>
                <w:lang w:val="en-US" w:eastAsia="zh-CN"/>
              </w:rPr>
              <w:t>6</w:t>
            </w:r>
            <w:r>
              <w:rPr>
                <w:rFonts w:hint="eastAsia" w:asciiTheme="minorEastAsia" w:hAnsiTheme="minorEastAsia" w:cstheme="minorEastAsia"/>
                <w:b/>
                <w:bCs/>
                <w:spacing w:val="8"/>
                <w:sz w:val="24"/>
                <w:szCs w:val="24"/>
              </w:rPr>
              <w:t>年，</w:t>
            </w:r>
            <w:r>
              <w:rPr>
                <w:rFonts w:hint="eastAsia" w:asciiTheme="minorEastAsia" w:hAnsiTheme="minorEastAsia" w:cstheme="minorEastAsia"/>
                <w:b/>
                <w:bCs/>
                <w:spacing w:val="8"/>
                <w:sz w:val="24"/>
                <w:szCs w:val="24"/>
                <w:lang w:val="en-US" w:eastAsia="zh-CN"/>
              </w:rPr>
              <w:t>6</w:t>
            </w:r>
            <w:r>
              <w:rPr>
                <w:rFonts w:hint="eastAsia" w:asciiTheme="minorEastAsia" w:hAnsiTheme="minorEastAsia" w:cstheme="minorEastAsia"/>
                <w:b/>
                <w:bCs/>
                <w:spacing w:val="8"/>
                <w:sz w:val="24"/>
                <w:szCs w:val="24"/>
              </w:rPr>
              <w:t>年内出现非人为性损坏承诺免费上门维修，一个电池组累计损坏电池数量比例超过该电池组的10%，承诺整体更换该组电池。保修期内每年至少4次上门巡检（含内阻检测），充放电测试（每半年一次），每次巡检完毕须提供加盖中标方公章书面巡检报告，为便于保管，巡检报告须装订成册。</w:t>
            </w:r>
          </w:p>
          <w:p w14:paraId="0650855B">
            <w:pPr>
              <w:pStyle w:val="17"/>
              <w:ind w:firstLine="424"/>
              <w:rPr>
                <w:rFonts w:hint="default" w:asciiTheme="minorEastAsia" w:hAnsiTheme="minorEastAsia" w:eastAsiaTheme="minorEastAsia" w:cstheme="minorEastAsia"/>
                <w:b/>
                <w:szCs w:val="24"/>
                <w:lang w:val="en-US" w:eastAsia="zh-CN"/>
              </w:rPr>
            </w:pPr>
          </w:p>
          <w:p w14:paraId="739892AF">
            <w:pPr>
              <w:pStyle w:val="17"/>
              <w:ind w:firstLine="424"/>
              <w:rPr>
                <w:rFonts w:asciiTheme="minorEastAsia" w:hAnsiTheme="minorEastAsia" w:eastAsiaTheme="minorEastAsia" w:cstheme="minorEastAsia"/>
                <w:b/>
                <w:color w:val="0000FF"/>
                <w:spacing w:val="8"/>
                <w:szCs w:val="24"/>
              </w:rPr>
            </w:pPr>
            <w:r>
              <w:rPr>
                <w:rFonts w:hint="eastAsia" w:asciiTheme="minorEastAsia" w:hAnsiTheme="minorEastAsia" w:eastAsiaTheme="minorEastAsia" w:cstheme="minorEastAsia"/>
                <w:b/>
                <w:szCs w:val="24"/>
              </w:rPr>
              <w:t>2.4精密空调维护要求</w:t>
            </w:r>
          </w:p>
          <w:p w14:paraId="3F4040A1">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定期预防性维护，定期巡检和故障排除，设备保养与服务；维护期内对机房精密空调系统涵盖的所有设备、设施、附件、连接线缆以及连接管路发生的任何问题、故障和隐患进行必要的检修和故障恢复。</w:t>
            </w:r>
          </w:p>
          <w:p w14:paraId="1EFC4079">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合同签订后5个工作日内需对本次项目维护保养的精密空调进行深度评估检测并对有异常的易损件及时进行更换。</w:t>
            </w:r>
          </w:p>
          <w:p w14:paraId="4E422F95">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提供全面的阶段性巡检，每年不低于12次，每月至少巡检一次，检查设备、系统运行状况，记录检测巡视结果并提供巡检报告，并根据设备情况，做相应维护措施。</w:t>
            </w:r>
          </w:p>
          <w:p w14:paraId="5C2847DC">
            <w:pPr>
              <w:pStyle w:val="17"/>
              <w:ind w:firstLine="451"/>
              <w:rPr>
                <w:rFonts w:asciiTheme="minorEastAsia" w:hAnsiTheme="minorEastAsia" w:eastAsiaTheme="minorEastAsia" w:cstheme="minorEastAsia"/>
                <w:spacing w:val="8"/>
                <w:kern w:val="2"/>
                <w:szCs w:val="24"/>
              </w:rPr>
            </w:pPr>
            <w:r>
              <w:rPr>
                <w:rFonts w:hint="eastAsia" w:asciiTheme="minorEastAsia" w:hAnsiTheme="minorEastAsia" w:eastAsiaTheme="minorEastAsia" w:cstheme="minorEastAsia"/>
                <w:spacing w:val="8"/>
                <w:szCs w:val="24"/>
              </w:rPr>
              <w:t>设备表面及直观部位清洁：定期清洁或更换室内机空气过滤器（</w:t>
            </w:r>
            <w:r>
              <w:rPr>
                <w:rFonts w:hint="eastAsia" w:asciiTheme="minorEastAsia" w:hAnsiTheme="minorEastAsia" w:eastAsiaTheme="minorEastAsia" w:cstheme="minorEastAsia"/>
                <w:color w:val="FF0000"/>
                <w:szCs w:val="24"/>
              </w:rPr>
              <w:t>服务期间内</w:t>
            </w:r>
            <w:r>
              <w:rPr>
                <w:rFonts w:hint="eastAsia" w:asciiTheme="minorEastAsia" w:hAnsiTheme="minorEastAsia" w:eastAsiaTheme="minorEastAsia" w:cstheme="minorEastAsia"/>
                <w:color w:val="FF0000"/>
                <w:szCs w:val="24"/>
                <w:lang w:val="en-US" w:eastAsia="zh-CN"/>
              </w:rPr>
              <w:t>每年</w:t>
            </w:r>
            <w:r>
              <w:rPr>
                <w:rFonts w:hint="eastAsia" w:asciiTheme="minorEastAsia" w:hAnsiTheme="minorEastAsia" w:eastAsiaTheme="minorEastAsia" w:cstheme="minorEastAsia"/>
                <w:color w:val="FF0000"/>
                <w:szCs w:val="24"/>
              </w:rPr>
              <w:t>更换1次滤网、清洗滤网不少于4次、室外机清洗不少于2次</w:t>
            </w:r>
            <w:r>
              <w:rPr>
                <w:rFonts w:hint="eastAsia" w:asciiTheme="minorEastAsia" w:hAnsiTheme="minorEastAsia" w:eastAsiaTheme="minorEastAsia" w:cstheme="minorEastAsia"/>
                <w:spacing w:val="8"/>
                <w:szCs w:val="24"/>
              </w:rPr>
              <w:t>），</w:t>
            </w:r>
            <w:r>
              <w:rPr>
                <w:rFonts w:hint="eastAsia" w:asciiTheme="minorEastAsia" w:hAnsiTheme="minorEastAsia" w:eastAsiaTheme="minorEastAsia" w:cstheme="minorEastAsia"/>
                <w:spacing w:val="8"/>
                <w:kern w:val="2"/>
                <w:szCs w:val="24"/>
              </w:rPr>
              <w:t>控制面板设定、控制是否正常，观察显示面板空调运行参数值是否都处于正常范围之内，在显示屏上是否出现故障或报警信息。</w:t>
            </w:r>
          </w:p>
          <w:p w14:paraId="1059AFDF">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检查空调室内主风机：叶轮有无杂物碎片，轴承是否活动自如，皮带松紧度及其状况，检查并紧固电路接头；检查气流情况，检查室内主风机运行电流。</w:t>
            </w:r>
          </w:p>
          <w:p w14:paraId="5BBCB588">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检查蒸发器：检查蒸发器翅片情况，检查蒸发器排水情况。</w:t>
            </w:r>
          </w:p>
          <w:p w14:paraId="718D1318">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检查加湿罐：检查、清洁加湿罐、加湿罐电机和接水盘，检查加湿罐电气连接情况，检查加湿罐加湿情况和加湿电流，检测空调进水、排水是否正常并冲洗排水管。</w:t>
            </w:r>
          </w:p>
          <w:p w14:paraId="4C22871D">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检查压缩机：检查压缩机吸气和排气压力情况，检查制冷剂是否缺少，检查压缩机加热带情况，确认制冷剂是否干燥，检查压缩机运行电流是否正常。</w:t>
            </w:r>
          </w:p>
          <w:p w14:paraId="63A64610">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设备内部表面清洁：根据空调设备运行环境和运行年限，应定期对空调内部做相应清洁，如接触器、开关、线包等设备件的维护。</w:t>
            </w:r>
          </w:p>
          <w:p w14:paraId="7CDACE8B">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检查清洁冷凝器翅片：根据空调冷凝器翅片清洁度，定期维护空调室内机冷凝器。</w:t>
            </w:r>
          </w:p>
          <w:p w14:paraId="71329890">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检查冷凝器风扇：每季度必须巡视检测并清洁室外机风扇，检查风扇轴承，防止室外机风扇因缺少维护而出现短路等故障。</w:t>
            </w:r>
          </w:p>
          <w:p w14:paraId="3D13C612">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检查室外风扇支架：定期巡视检测室外机支架，以确保室外机安全。</w:t>
            </w:r>
          </w:p>
          <w:p w14:paraId="3AA280D3">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检查室外机运行状况：检测、观察室外机风扇运行情况，是否受压力正常控制，风扇运行、转速是否正常。</w:t>
            </w:r>
          </w:p>
          <w:p w14:paraId="0734E1CB">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检查视镜是否缺油、缺氟：观察视镜控制压缩机冷冻油在视镜1/2～3/4范围内，观察视液镜氟利昂是否正常，并观测回路中是否有空气或其他杂质。</w:t>
            </w:r>
          </w:p>
          <w:p w14:paraId="12C6D2A2">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每月定期检查设备和管路，并及时修补跑、冒、滴、漏等故障。</w:t>
            </w:r>
          </w:p>
          <w:p w14:paraId="708B58EE">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测试空调机组运行压力：每年应测试空调机组运行压力，认真核对空调运行压力是否正常，发现空调存在隐患，及时维护。</w:t>
            </w:r>
          </w:p>
          <w:p w14:paraId="2CDF98A0">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测试空调机组运行电流：测试空调机组压缩机启动、运行电流；室内风机启动、运行电流、室外风机启动、运行电流；控制板电流；认真核对空调原始数据，了解空调运行情况，发现空调存在隐患，及时维护。</w:t>
            </w:r>
          </w:p>
          <w:p w14:paraId="18EEF6D6">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测试空调相应报警功能：全年做一次空调报警功能测试，检测空调报警控制功能是否正常。</w:t>
            </w:r>
          </w:p>
          <w:p w14:paraId="228038E0">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检测空调温湿度控制功能：改变空调设定温湿度值，使空调分别进行制冷、制热、加湿、除湿工作，检测空调对温湿度的控制是否正常。</w:t>
            </w:r>
          </w:p>
          <w:p w14:paraId="2C12A7A4">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紧固空调相应接头：空调各电器接头、制冷管路接头等因长时间运行会出现松动等现象，必须对各个接头进行紧固。</w:t>
            </w:r>
          </w:p>
          <w:p w14:paraId="62B6163E">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检测空调制冷铜管、接头是否出现泄露：检测制冷铜管、接头是否有漏油，测试空调压力是否正常，使空调在最佳状态工作。</w:t>
            </w:r>
          </w:p>
          <w:p w14:paraId="7E80364A">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检测制冷管路、进排水管路，空调室内（外）机等相关支撑架、安装底座是否牢固可靠。</w:t>
            </w:r>
          </w:p>
          <w:p w14:paraId="17AFB90F">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检测空调各项保护功能：详细检测空调各项报警、保护功能，并做相应测试，并提供其他相关巡检等服务。</w:t>
            </w:r>
          </w:p>
          <w:p w14:paraId="4B5B37CF">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在对机房进行正常供电时突发故障后，在接到通知后应派精密空调专业认证工程师立即电话进行技术支持，并在最短时间内到达现场排除故障，如不能立即处理，应立即根据实际情况组织调动人力、物力进行抢修。</w:t>
            </w:r>
          </w:p>
          <w:p w14:paraId="0578E55B">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进行维护保养服务时应在经采购方相关部门负责人同意后在采购人有关人员陪同下进行，并做好和提供维护保养相关记录，由双方技术人员签字并存档。工作技术人员维护保养时，应遵守现场有关管理规定，遵守保密规则，服从采购人管理。</w:t>
            </w:r>
          </w:p>
          <w:p w14:paraId="0A038FC8">
            <w:pPr>
              <w:rPr>
                <w:rFonts w:asciiTheme="minorEastAsia" w:hAnsiTheme="minorEastAsia" w:cstheme="minorEastAsia"/>
                <w:b/>
                <w:spacing w:val="8"/>
                <w:sz w:val="24"/>
                <w:szCs w:val="24"/>
              </w:rPr>
            </w:pPr>
            <w:r>
              <w:rPr>
                <w:rFonts w:hint="eastAsia" w:asciiTheme="minorEastAsia" w:hAnsiTheme="minorEastAsia" w:cstheme="minorEastAsia"/>
                <w:b/>
                <w:spacing w:val="8"/>
                <w:sz w:val="24"/>
                <w:szCs w:val="24"/>
              </w:rPr>
              <w:t>2.5动力环境监控系统</w:t>
            </w:r>
          </w:p>
          <w:p w14:paraId="45AF9637">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电源系统不稳定、室内温湿度过高过低、漏水、进出管理不当、空调设备出故障、机房明火不当等。为预防或发现这些机房运行中的难题，通过对动力、环境、网络等进行集中监控和维保来确保机房安全。</w:t>
            </w:r>
          </w:p>
          <w:p w14:paraId="7C229C69">
            <w:pPr>
              <w:rPr>
                <w:rFonts w:asciiTheme="minorEastAsia" w:hAnsiTheme="minorEastAsia" w:cstheme="minorEastAsia"/>
                <w:b/>
                <w:spacing w:val="8"/>
                <w:sz w:val="24"/>
                <w:szCs w:val="24"/>
              </w:rPr>
            </w:pPr>
            <w:r>
              <w:rPr>
                <w:rFonts w:hint="eastAsia" w:asciiTheme="minorEastAsia" w:hAnsiTheme="minorEastAsia" w:cstheme="minorEastAsia"/>
                <w:b/>
                <w:spacing w:val="8"/>
                <w:sz w:val="24"/>
                <w:szCs w:val="24"/>
              </w:rPr>
              <w:t>采集设备巡视检查及维护</w:t>
            </w:r>
          </w:p>
          <w:p w14:paraId="56D75F94">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检查设备指示灯是否工作正常；</w:t>
            </w:r>
          </w:p>
          <w:p w14:paraId="1F7A9F4A">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测量设备供电电压是否在设备使用标准内（误差小于10%）；</w:t>
            </w:r>
          </w:p>
          <w:p w14:paraId="3E3D8A49">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检测设备各端接点（包括网络接口）连接情况，是否存在松动、老化、连接障碍以及短路发热的情况；</w:t>
            </w:r>
          </w:p>
          <w:p w14:paraId="59EEF965">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登录设备管理界面检查设备配置和安装方式是否存在不合理、存在安全隐患或需要改动优化的地方；</w:t>
            </w:r>
          </w:p>
          <w:p w14:paraId="3FE28097">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手动修改告警阀值作报警测试。</w:t>
            </w:r>
          </w:p>
          <w:p w14:paraId="6F6C0615">
            <w:pPr>
              <w:rPr>
                <w:rFonts w:asciiTheme="minorEastAsia" w:hAnsiTheme="minorEastAsia" w:cstheme="minorEastAsia"/>
                <w:b/>
                <w:spacing w:val="8"/>
                <w:sz w:val="24"/>
                <w:szCs w:val="24"/>
              </w:rPr>
            </w:pPr>
            <w:r>
              <w:rPr>
                <w:rFonts w:hint="eastAsia" w:asciiTheme="minorEastAsia" w:hAnsiTheme="minorEastAsia" w:cstheme="minorEastAsia"/>
                <w:b/>
                <w:spacing w:val="8"/>
                <w:sz w:val="24"/>
                <w:szCs w:val="24"/>
              </w:rPr>
              <w:t>传感器巡视检查及维护</w:t>
            </w:r>
          </w:p>
          <w:p w14:paraId="1E323CAE">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检查设备指示灯是否工作正常；</w:t>
            </w:r>
          </w:p>
          <w:p w14:paraId="084EAC2B">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测量设备供电电压是否在设备使用标准内（误差小于10%）；</w:t>
            </w:r>
          </w:p>
          <w:p w14:paraId="4D2F8FA3">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检测设备各端接点连接情况，是否存在松动、老化、连接障碍以及短路发热的情况；</w:t>
            </w:r>
          </w:p>
          <w:p w14:paraId="34A64BE3">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根据现场情况分析设备安装方式是否合理、存在安全隐患和需要改动优化的地方；</w:t>
            </w:r>
          </w:p>
          <w:p w14:paraId="6ABA1DFA">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测量每个通道与前端传感设备的供电电压及信号电压是否存在较大误差或波动（误差小于10%）。</w:t>
            </w:r>
          </w:p>
          <w:p w14:paraId="011CE9D9">
            <w:pPr>
              <w:rPr>
                <w:rFonts w:asciiTheme="minorEastAsia" w:hAnsiTheme="minorEastAsia" w:cstheme="minorEastAsia"/>
                <w:b/>
                <w:spacing w:val="8"/>
                <w:sz w:val="24"/>
                <w:szCs w:val="24"/>
              </w:rPr>
            </w:pPr>
            <w:r>
              <w:rPr>
                <w:rFonts w:hint="eastAsia" w:asciiTheme="minorEastAsia" w:hAnsiTheme="minorEastAsia" w:cstheme="minorEastAsia"/>
                <w:b/>
                <w:spacing w:val="8"/>
                <w:sz w:val="24"/>
                <w:szCs w:val="24"/>
              </w:rPr>
              <w:t>协议转换设备巡视检查及维护</w:t>
            </w:r>
          </w:p>
          <w:p w14:paraId="4D43DE22">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检查设备指示灯或显示界面是否工作正常；</w:t>
            </w:r>
          </w:p>
          <w:p w14:paraId="3FAD8FF3">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测量设备供电电压、信号电压是否在正常标准值内；</w:t>
            </w:r>
          </w:p>
          <w:p w14:paraId="00783B2B">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检测信号输入接口（包括网络接口）连接情况，是否存在松动、老化、连接障碍以及短路发热的情况；</w:t>
            </w:r>
          </w:p>
          <w:p w14:paraId="1F828497">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根据现场情况分析设备安装方式是否合理、存在安全隐患和需要改动优化的地方。</w:t>
            </w:r>
          </w:p>
          <w:p w14:paraId="6D254F86">
            <w:pPr>
              <w:rPr>
                <w:rFonts w:asciiTheme="minorEastAsia" w:hAnsiTheme="minorEastAsia" w:cstheme="minorEastAsia"/>
                <w:b/>
                <w:spacing w:val="8"/>
                <w:sz w:val="24"/>
                <w:szCs w:val="24"/>
              </w:rPr>
            </w:pPr>
            <w:r>
              <w:rPr>
                <w:rFonts w:hint="eastAsia" w:asciiTheme="minorEastAsia" w:hAnsiTheme="minorEastAsia" w:cstheme="minorEastAsia"/>
                <w:b/>
                <w:spacing w:val="8"/>
                <w:sz w:val="24"/>
                <w:szCs w:val="24"/>
              </w:rPr>
              <w:t>报警设备巡视检查及维护</w:t>
            </w:r>
          </w:p>
          <w:p w14:paraId="4B68B5A3">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检查设备指示灯或显示界面是否工作正常；</w:t>
            </w:r>
          </w:p>
          <w:p w14:paraId="0B0D0A4E">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测量设备供电电压是否在存在较大误差（误差小于10%）；</w:t>
            </w:r>
          </w:p>
          <w:p w14:paraId="0E510EE2">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检查设备本身及手机卡或电话线等工作稳定性，是否存在线路障碍和老化的情况；</w:t>
            </w:r>
          </w:p>
          <w:p w14:paraId="56B49E96">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在条件允许的情况下手动模拟发送报警信息或使用手机、固定电话等测试信号强度。</w:t>
            </w:r>
          </w:p>
          <w:p w14:paraId="6A34B9F4">
            <w:pPr>
              <w:rPr>
                <w:rFonts w:asciiTheme="minorEastAsia" w:hAnsiTheme="minorEastAsia" w:cstheme="minorEastAsia"/>
                <w:b/>
                <w:spacing w:val="8"/>
                <w:sz w:val="24"/>
                <w:szCs w:val="24"/>
              </w:rPr>
            </w:pPr>
            <w:bookmarkStart w:id="0" w:name="_Toc34562838"/>
            <w:r>
              <w:rPr>
                <w:rFonts w:hint="eastAsia" w:asciiTheme="minorEastAsia" w:hAnsiTheme="minorEastAsia" w:cstheme="minorEastAsia"/>
                <w:b/>
                <w:spacing w:val="8"/>
                <w:sz w:val="24"/>
                <w:szCs w:val="24"/>
              </w:rPr>
              <w:t>线材巡视检查及维护</w:t>
            </w:r>
            <w:bookmarkEnd w:id="0"/>
          </w:p>
          <w:p w14:paraId="03CEC134">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在条件允许的情况下观察线缆外表是否存在破损，金属导线裸露、不完整的情况；</w:t>
            </w:r>
          </w:p>
          <w:p w14:paraId="2DD68929">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检查线缆是否存在发热、异常软化（融化）、硬化易碎等情况；</w:t>
            </w:r>
          </w:p>
          <w:p w14:paraId="1A58B640">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rPr>
              <w:t>测量线缆端与端之间连通性，是否存在干扰、短路、连通效率低或不通.</w:t>
            </w:r>
          </w:p>
          <w:p w14:paraId="58546C3F">
            <w:pPr>
              <w:pStyle w:val="17"/>
              <w:numPr>
                <w:ilvl w:val="0"/>
                <w:numId w:val="2"/>
              </w:numPr>
              <w:tabs>
                <w:tab w:val="clear" w:pos="312"/>
              </w:tabs>
              <w:ind w:firstLine="424"/>
              <w:rPr>
                <w:rFonts w:asciiTheme="minorEastAsia" w:hAnsiTheme="minorEastAsia" w:eastAsiaTheme="minorEastAsia" w:cstheme="minorEastAsia"/>
                <w:b/>
                <w:szCs w:val="24"/>
              </w:rPr>
            </w:pPr>
            <w:r>
              <w:rPr>
                <w:rFonts w:hint="eastAsia" w:asciiTheme="minorEastAsia" w:hAnsiTheme="minorEastAsia" w:eastAsiaTheme="minorEastAsia" w:cstheme="minorEastAsia"/>
                <w:b/>
                <w:szCs w:val="24"/>
              </w:rPr>
              <w:t>服务要求：</w:t>
            </w:r>
          </w:p>
          <w:p w14:paraId="539BC9CD">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lang w:val="en-US" w:eastAsia="zh-CN"/>
              </w:rPr>
              <w:t>1</w:t>
            </w:r>
            <w:r>
              <w:rPr>
                <w:rFonts w:hint="eastAsia" w:asciiTheme="minorEastAsia" w:hAnsiTheme="minorEastAsia" w:cstheme="minorEastAsia"/>
                <w:spacing w:val="8"/>
                <w:sz w:val="24"/>
                <w:szCs w:val="24"/>
              </w:rPr>
              <w:t>、每月一次现场巡查（发现问题及时处理），重大节假日前和采购人要求时必须提供全面的巡检排查和故障处理（包含上述所有设备软硬件的运行状态和告警信息，发现问题需马上）；并在检查排查结束后的5个工作日内将相应纸质报告交给职能部门。所有设备建立铭牌（包含巡查时间，巡查人员，操作内容，设备具体信息）。</w:t>
            </w:r>
          </w:p>
          <w:p w14:paraId="1A99A9AC">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lang w:val="en-US" w:eastAsia="zh-CN"/>
              </w:rPr>
              <w:t>2</w:t>
            </w:r>
            <w:r>
              <w:rPr>
                <w:rFonts w:hint="eastAsia" w:asciiTheme="minorEastAsia" w:hAnsiTheme="minorEastAsia" w:cstheme="minorEastAsia"/>
                <w:spacing w:val="8"/>
                <w:sz w:val="24"/>
                <w:szCs w:val="24"/>
              </w:rPr>
              <w:t>、提供7*24小时的专业技术人员现场服务支持，保证1小时内到达现场排除故障，如不能立即处理，应立即根据实际情况组织调动人力、物力进行抢修；在维保中，若需设备制造厂家的专业维保人员及团队进行上门故障处理的，均由投标公司自行进行协商、协调（甲方不再承当任何费用和义务）。</w:t>
            </w:r>
          </w:p>
          <w:p w14:paraId="140EEA0D">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lang w:val="en-US" w:eastAsia="zh-CN"/>
              </w:rPr>
              <w:t>3</w:t>
            </w:r>
            <w:r>
              <w:rPr>
                <w:rFonts w:hint="eastAsia" w:asciiTheme="minorEastAsia" w:hAnsiTheme="minorEastAsia" w:cstheme="minorEastAsia"/>
                <w:spacing w:val="8"/>
                <w:sz w:val="24"/>
                <w:szCs w:val="24"/>
              </w:rPr>
              <w:t>、针对本次项目清单内设备：UPS应提供原厂原装新品、正品备品备件，按季度定期巡检；蓄电池应做到定期巡检（含内阻检测），充放电测试（每半年一次）；空调应提供原厂原装新品、正品备品备件，按要求定期巡检；动环系统保证现有的软硬件工作正常，并提供相应的备品备件（包含传感器和探头）；配电柜提供柜内所有配电单元器件的备品备件，定期巡查巡检。</w:t>
            </w:r>
          </w:p>
          <w:p w14:paraId="1B35C1E7">
            <w:pPr>
              <w:ind w:firstLine="451"/>
              <w:rPr>
                <w:rFonts w:asciiTheme="minorEastAsia" w:hAnsiTheme="minorEastAsia" w:cstheme="minorEastAsia"/>
                <w:spacing w:val="8"/>
                <w:sz w:val="24"/>
                <w:szCs w:val="24"/>
              </w:rPr>
            </w:pPr>
            <w:r>
              <w:rPr>
                <w:rFonts w:hint="eastAsia" w:asciiTheme="minorEastAsia" w:hAnsiTheme="minorEastAsia" w:cstheme="minorEastAsia"/>
                <w:spacing w:val="8"/>
                <w:sz w:val="24"/>
                <w:szCs w:val="24"/>
                <w:lang w:val="en-US" w:eastAsia="zh-CN"/>
              </w:rPr>
              <w:t>4</w:t>
            </w:r>
            <w:r>
              <w:rPr>
                <w:rFonts w:hint="eastAsia" w:asciiTheme="minorEastAsia" w:hAnsiTheme="minorEastAsia" w:cstheme="minorEastAsia"/>
                <w:spacing w:val="8"/>
                <w:sz w:val="24"/>
                <w:szCs w:val="24"/>
              </w:rPr>
              <w:t>、建立一个针对本项目信息机房维保标准服务规范（包括：流程、处理时间、负责人及电话、质量监管及反馈投诉等，投标时提供相应的佐证材料）。</w:t>
            </w:r>
          </w:p>
          <w:p w14:paraId="785C71D6">
            <w:pPr>
              <w:ind w:firstLine="451"/>
              <w:rPr>
                <w:rFonts w:asciiTheme="minorEastAsia" w:hAnsiTheme="minorEastAsia" w:cstheme="minorEastAsia"/>
                <w:sz w:val="24"/>
                <w:szCs w:val="24"/>
                <w:highlight w:val="yellow"/>
              </w:rPr>
            </w:pPr>
            <w:r>
              <w:rPr>
                <w:rFonts w:hint="eastAsia" w:asciiTheme="minorEastAsia" w:hAnsiTheme="minorEastAsia" w:cstheme="minorEastAsia"/>
                <w:spacing w:val="8"/>
                <w:sz w:val="24"/>
                <w:szCs w:val="24"/>
                <w:lang w:val="en-US" w:eastAsia="zh-CN"/>
              </w:rPr>
              <w:t>5</w:t>
            </w:r>
            <w:r>
              <w:rPr>
                <w:rFonts w:hint="eastAsia" w:asciiTheme="minorEastAsia" w:hAnsiTheme="minorEastAsia" w:cstheme="minorEastAsia"/>
                <w:spacing w:val="8"/>
                <w:sz w:val="24"/>
                <w:szCs w:val="24"/>
              </w:rPr>
              <w:t>、提供7*24小时服务热线，维保人员接到故障通知后，应在15分钟内响应；经维保人员研判或在电话技术支持下比选人不能自行解决的，维保人员应在1小时内到场处置；一般故障处理、恢复时效不应超过1小时；重大故障处理、恢复时效不应超过6小时；</w:t>
            </w:r>
          </w:p>
        </w:tc>
      </w:tr>
      <w:tr w14:paraId="5C06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3AE9D225">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4</w:t>
            </w:r>
          </w:p>
        </w:tc>
        <w:tc>
          <w:tcPr>
            <w:tcW w:w="1663" w:type="dxa"/>
            <w:vAlign w:val="center"/>
          </w:tcPr>
          <w:p w14:paraId="372FB4E7">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服务质量要求</w:t>
            </w:r>
          </w:p>
        </w:tc>
        <w:tc>
          <w:tcPr>
            <w:tcW w:w="7130" w:type="dxa"/>
            <w:vAlign w:val="center"/>
          </w:tcPr>
          <w:p w14:paraId="3C3BC521">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服务质量必须符合国家和行业规范要求、符合设备厂家要求。</w:t>
            </w:r>
          </w:p>
        </w:tc>
      </w:tr>
      <w:tr w14:paraId="633D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55" w:type="dxa"/>
            <w:vAlign w:val="center"/>
          </w:tcPr>
          <w:p w14:paraId="7ABF6736">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5</w:t>
            </w:r>
          </w:p>
        </w:tc>
        <w:tc>
          <w:tcPr>
            <w:tcW w:w="1663" w:type="dxa"/>
            <w:vAlign w:val="center"/>
          </w:tcPr>
          <w:p w14:paraId="1BE77928">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参与方条件</w:t>
            </w:r>
          </w:p>
        </w:tc>
        <w:tc>
          <w:tcPr>
            <w:tcW w:w="7130" w:type="dxa"/>
            <w:vAlign w:val="center"/>
          </w:tcPr>
          <w:p w14:paraId="1A1FB4CC">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（一）基本资格条件</w:t>
            </w:r>
          </w:p>
          <w:p w14:paraId="4D67B19A">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1.参与人为中华人民共和国境内依法注册、具有独立法人资格。具备在有效期内的税务登记证、组织机构代码证。【提供税务登记证、组织机构代码证或“三证合一”的营业执照复印件并加盖鲜章】。</w:t>
            </w:r>
          </w:p>
          <w:p w14:paraId="1E154354">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2.法定代表人身份证明【格式1】</w:t>
            </w:r>
          </w:p>
          <w:p w14:paraId="30C4B3F3">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3.法定代表人授权委托书【格式2，法人本人到场的无需提供】</w:t>
            </w:r>
          </w:p>
          <w:p w14:paraId="0538413B">
            <w:pPr>
              <w:ind w:firstLine="422"/>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（二）特定资格条件：</w:t>
            </w:r>
          </w:p>
          <w:p w14:paraId="5A2B20A4">
            <w:pPr>
              <w:pStyle w:val="17"/>
              <w:ind w:firstLine="424"/>
              <w:rPr>
                <w:rFonts w:asciiTheme="minorEastAsia" w:hAnsiTheme="minorEastAsia" w:eastAsiaTheme="minorEastAsia" w:cstheme="minorEastAsia"/>
                <w:b/>
                <w:color w:val="auto"/>
                <w:szCs w:val="24"/>
                <w:highlight w:val="yellow"/>
              </w:rPr>
            </w:pPr>
            <w:r>
              <w:rPr>
                <w:rFonts w:hint="eastAsia" w:asciiTheme="minorEastAsia" w:hAnsiTheme="minorEastAsia" w:eastAsiaTheme="minorEastAsia" w:cstheme="minorEastAsia"/>
                <w:b/>
                <w:color w:val="auto"/>
                <w:szCs w:val="24"/>
              </w:rPr>
              <w:t>1.人员要求;</w:t>
            </w:r>
          </w:p>
          <w:p w14:paraId="439013DC">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本项目技术人员不少于2人，为竞选公司员工，且具有中华人民共和国应急管理部（原国家安全生产监督管理局）等国家认可的机构颁发的“低压电工作业”证书。</w:t>
            </w:r>
          </w:p>
          <w:p w14:paraId="0956C86D">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技术人员应有本次项目中核心设备（伊顿）原厂颁发的有效的服务资格证书（证书内容应明确包含巡检、维修和维护）</w:t>
            </w:r>
          </w:p>
          <w:p w14:paraId="6153A77B">
            <w:pPr>
              <w:pStyle w:val="17"/>
              <w:ind w:firstLine="424"/>
              <w:rPr>
                <w:rFonts w:asciiTheme="minorEastAsia" w:hAnsiTheme="minorEastAsia" w:eastAsiaTheme="minorEastAsia" w:cstheme="minorEastAsia"/>
                <w:b/>
                <w:color w:val="auto"/>
                <w:szCs w:val="24"/>
              </w:rPr>
            </w:pPr>
            <w:r>
              <w:rPr>
                <w:rFonts w:hint="eastAsia" w:asciiTheme="minorEastAsia" w:hAnsiTheme="minorEastAsia" w:eastAsiaTheme="minorEastAsia" w:cstheme="minorEastAsia"/>
                <w:b/>
                <w:color w:val="auto"/>
                <w:szCs w:val="24"/>
              </w:rPr>
              <w:t>2.业绩要求：</w:t>
            </w:r>
          </w:p>
          <w:p w14:paraId="614D0820">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202</w:t>
            </w:r>
            <w:r>
              <w:rPr>
                <w:rFonts w:hint="eastAsia" w:asciiTheme="minorEastAsia" w:hAnsiTheme="minorEastAsia" w:eastAsiaTheme="minorEastAsia" w:cstheme="minorEastAsia"/>
                <w:color w:val="auto"/>
                <w:szCs w:val="24"/>
                <w:lang w:val="en-US" w:eastAsia="zh-CN"/>
              </w:rPr>
              <w:t>3</w:t>
            </w:r>
            <w:r>
              <w:rPr>
                <w:rFonts w:hint="eastAsia" w:asciiTheme="minorEastAsia" w:hAnsiTheme="minorEastAsia" w:eastAsiaTheme="minorEastAsia" w:cstheme="minorEastAsia"/>
                <w:color w:val="auto"/>
                <w:szCs w:val="24"/>
              </w:rPr>
              <w:t>年1月1日起至今</w:t>
            </w:r>
            <w:r>
              <w:rPr>
                <w:rFonts w:hint="eastAsia" w:asciiTheme="minorEastAsia" w:hAnsiTheme="minorEastAsia" w:eastAsiaTheme="minorEastAsia" w:cstheme="minorEastAsia"/>
                <w:color w:val="auto"/>
                <w:spacing w:val="8"/>
                <w:szCs w:val="24"/>
              </w:rPr>
              <w:t>承接</w:t>
            </w:r>
            <w:r>
              <w:rPr>
                <w:rFonts w:hint="eastAsia" w:asciiTheme="minorEastAsia" w:hAnsiTheme="minorEastAsia" w:eastAsiaTheme="minorEastAsia" w:cstheme="minorEastAsia"/>
                <w:color w:val="auto"/>
                <w:spacing w:val="8"/>
                <w:szCs w:val="24"/>
                <w:lang w:val="en-US" w:eastAsia="zh-CN"/>
              </w:rPr>
              <w:t>医院UPS</w:t>
            </w:r>
            <w:r>
              <w:rPr>
                <w:rFonts w:hint="eastAsia" w:asciiTheme="minorEastAsia" w:hAnsiTheme="minorEastAsia" w:eastAsiaTheme="minorEastAsia" w:cstheme="minorEastAsia"/>
                <w:color w:val="auto"/>
                <w:szCs w:val="24"/>
              </w:rPr>
              <w:t>机房整体运维业绩</w:t>
            </w:r>
            <w:r>
              <w:rPr>
                <w:rFonts w:hint="eastAsia" w:asciiTheme="minorEastAsia" w:hAnsiTheme="minorEastAsia" w:eastAsiaTheme="minorEastAsia" w:cstheme="minorEastAsia"/>
                <w:color w:val="auto"/>
                <w:spacing w:val="8"/>
                <w:szCs w:val="24"/>
              </w:rPr>
              <w:t>2个及以上</w:t>
            </w:r>
            <w:r>
              <w:rPr>
                <w:rFonts w:hint="eastAsia" w:asciiTheme="minorEastAsia" w:hAnsiTheme="minorEastAsia" w:eastAsiaTheme="minorEastAsia" w:cstheme="minorEastAsia"/>
                <w:color w:val="auto"/>
                <w:szCs w:val="24"/>
              </w:rPr>
              <w:t>，服务范围涵盖UPS不间断电源维护、机房精密空调巡检维保等机房配套设施运维工作。</w:t>
            </w:r>
            <w:r>
              <w:rPr>
                <w:rFonts w:hint="eastAsia" w:asciiTheme="minorEastAsia" w:hAnsiTheme="minorEastAsia" w:eastAsiaTheme="minorEastAsia" w:cstheme="minorEastAsia"/>
                <w:color w:val="auto"/>
                <w:szCs w:val="24"/>
              </w:rPr>
              <w:t>提供合同关键页复印件，关键页包括体现合同标的、合同金额、签字盖章页）。</w:t>
            </w:r>
          </w:p>
        </w:tc>
      </w:tr>
      <w:tr w14:paraId="361C1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4FA76F04">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6</w:t>
            </w:r>
          </w:p>
        </w:tc>
        <w:tc>
          <w:tcPr>
            <w:tcW w:w="1663" w:type="dxa"/>
            <w:vAlign w:val="center"/>
          </w:tcPr>
          <w:p w14:paraId="655AD4FA">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推介时间和地点</w:t>
            </w:r>
          </w:p>
        </w:tc>
        <w:tc>
          <w:tcPr>
            <w:tcW w:w="7130" w:type="dxa"/>
            <w:vAlign w:val="center"/>
          </w:tcPr>
          <w:p w14:paraId="68A96391">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时间：2026年</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rPr>
              <w:t>月</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rPr>
              <w:t xml:space="preserve">日上午9:00 </w:t>
            </w:r>
          </w:p>
          <w:p w14:paraId="455DAF55">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地点：南岸区天文大道288号重医附二院江南院区全科楼后勤处办公室（607办公室）</w:t>
            </w:r>
          </w:p>
        </w:tc>
      </w:tr>
      <w:tr w14:paraId="4E19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855" w:type="dxa"/>
            <w:vAlign w:val="center"/>
          </w:tcPr>
          <w:p w14:paraId="6F3D4340">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7</w:t>
            </w:r>
          </w:p>
        </w:tc>
        <w:tc>
          <w:tcPr>
            <w:tcW w:w="1663" w:type="dxa"/>
            <w:vAlign w:val="center"/>
          </w:tcPr>
          <w:p w14:paraId="1C49D61A">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报价方式</w:t>
            </w:r>
          </w:p>
        </w:tc>
        <w:tc>
          <w:tcPr>
            <w:tcW w:w="7130" w:type="dxa"/>
            <w:vAlign w:val="center"/>
          </w:tcPr>
          <w:p w14:paraId="57A773FE">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本项目报价采用</w:t>
            </w:r>
            <w:r>
              <w:rPr>
                <w:rFonts w:hint="eastAsia" w:asciiTheme="minorEastAsia" w:hAnsiTheme="minorEastAsia" w:eastAsiaTheme="minorEastAsia" w:cstheme="minorEastAsia"/>
                <w:color w:val="auto"/>
                <w:szCs w:val="24"/>
                <w:lang w:val="en-US" w:eastAsia="zh-CN"/>
              </w:rPr>
              <w:t>全包服务</w:t>
            </w:r>
            <w:r>
              <w:rPr>
                <w:rFonts w:hint="eastAsia" w:asciiTheme="minorEastAsia" w:hAnsiTheme="minorEastAsia" w:eastAsiaTheme="minorEastAsia" w:cstheme="minorEastAsia"/>
                <w:color w:val="auto"/>
                <w:szCs w:val="24"/>
              </w:rPr>
              <w:t>，报价中已涵盖全部工作内容，包含但不限于</w:t>
            </w:r>
            <w:r>
              <w:rPr>
                <w:rFonts w:hint="eastAsia" w:asciiTheme="minorEastAsia" w:hAnsiTheme="minorEastAsia" w:eastAsiaTheme="minorEastAsia" w:cstheme="minorEastAsia"/>
                <w:color w:val="auto"/>
                <w:szCs w:val="24"/>
                <w:lang w:val="en-US" w:eastAsia="zh-CN"/>
              </w:rPr>
              <w:t>原厂</w:t>
            </w:r>
            <w:r>
              <w:rPr>
                <w:rFonts w:hint="eastAsia" w:asciiTheme="minorEastAsia" w:hAnsiTheme="minorEastAsia" w:eastAsiaTheme="minorEastAsia" w:cstheme="minorEastAsia"/>
                <w:color w:val="auto"/>
                <w:szCs w:val="24"/>
              </w:rPr>
              <w:t>设备产品购置、运杂费、安装调试费、搬运费、专利费、技术资料费、质保期内的维护、</w:t>
            </w:r>
            <w:r>
              <w:rPr>
                <w:rFonts w:hint="eastAsia" w:asciiTheme="minorEastAsia" w:hAnsiTheme="minorEastAsia" w:eastAsiaTheme="minorEastAsia" w:cstheme="minorEastAsia"/>
                <w:color w:val="auto"/>
                <w:szCs w:val="24"/>
                <w:lang w:val="en-US" w:eastAsia="zh-CN"/>
              </w:rPr>
              <w:t>原厂配件</w:t>
            </w:r>
            <w:r>
              <w:rPr>
                <w:rFonts w:hint="eastAsia" w:asciiTheme="minorEastAsia" w:hAnsiTheme="minorEastAsia" w:eastAsiaTheme="minorEastAsia" w:cstheme="minorEastAsia"/>
                <w:color w:val="auto"/>
                <w:szCs w:val="24"/>
              </w:rPr>
              <w:t>维修费、人工费、培训费、保险、利润、税金等所有费用。</w:t>
            </w:r>
          </w:p>
        </w:tc>
      </w:tr>
      <w:tr w14:paraId="6DC7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dxa"/>
            <w:vAlign w:val="center"/>
          </w:tcPr>
          <w:p w14:paraId="4C3085BF">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8</w:t>
            </w:r>
          </w:p>
        </w:tc>
        <w:tc>
          <w:tcPr>
            <w:tcW w:w="1663" w:type="dxa"/>
            <w:vAlign w:val="center"/>
          </w:tcPr>
          <w:p w14:paraId="7C87DCE1">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报名方式及</w:t>
            </w:r>
          </w:p>
          <w:p w14:paraId="0331A48B">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截止时间</w:t>
            </w:r>
          </w:p>
        </w:tc>
        <w:tc>
          <w:tcPr>
            <w:tcW w:w="7130" w:type="dxa"/>
            <w:vAlign w:val="center"/>
          </w:tcPr>
          <w:p w14:paraId="22822544">
            <w:pPr>
              <w:ind w:firstLine="422"/>
              <w:rPr>
                <w:rFonts w:asciiTheme="minorEastAsia" w:hAnsiTheme="minorEastAsia" w:cstheme="minorEastAsia"/>
                <w:sz w:val="24"/>
                <w:szCs w:val="24"/>
              </w:rPr>
            </w:pPr>
            <w:r>
              <w:rPr>
                <w:rFonts w:hint="eastAsia" w:asciiTheme="minorEastAsia" w:hAnsiTheme="minorEastAsia" w:cstheme="minorEastAsia"/>
                <w:sz w:val="24"/>
                <w:szCs w:val="24"/>
              </w:rPr>
              <w:t>邮件报名： cyfeyzwk@163.com</w:t>
            </w:r>
          </w:p>
          <w:p w14:paraId="75DC6118">
            <w:pPr>
              <w:ind w:firstLine="422"/>
              <w:rPr>
                <w:rFonts w:asciiTheme="minorEastAsia" w:hAnsiTheme="minorEastAsia" w:cstheme="minorEastAsia"/>
                <w:kern w:val="0"/>
                <w:sz w:val="24"/>
                <w:szCs w:val="24"/>
              </w:rPr>
            </w:pPr>
            <w:r>
              <w:rPr>
                <w:rFonts w:hint="eastAsia" w:asciiTheme="minorEastAsia" w:hAnsiTheme="minorEastAsia" w:cstheme="minorEastAsia"/>
                <w:kern w:val="0"/>
                <w:sz w:val="24"/>
                <w:szCs w:val="24"/>
              </w:rPr>
              <w:t>邮件标题注明</w:t>
            </w:r>
            <w:r>
              <w:rPr>
                <w:rFonts w:hint="eastAsia" w:asciiTheme="minorEastAsia" w:hAnsiTheme="minorEastAsia" w:cstheme="minorEastAsia"/>
                <w:sz w:val="24"/>
                <w:szCs w:val="24"/>
              </w:rPr>
              <w:t>：江南院区安防机房基础环境维护保养服务阳光推介+单位名称+联系人+联系电话</w:t>
            </w:r>
          </w:p>
          <w:p w14:paraId="2285B9D3">
            <w:pPr>
              <w:ind w:firstLine="422"/>
              <w:rPr>
                <w:rFonts w:asciiTheme="minorEastAsia" w:hAnsiTheme="minorEastAsia" w:cstheme="minorEastAsia"/>
                <w:sz w:val="24"/>
                <w:szCs w:val="24"/>
              </w:rPr>
            </w:pPr>
            <w:r>
              <w:rPr>
                <w:rFonts w:hint="eastAsia" w:asciiTheme="minorEastAsia" w:hAnsiTheme="minorEastAsia" w:cstheme="minorEastAsia"/>
                <w:sz w:val="24"/>
                <w:szCs w:val="24"/>
              </w:rPr>
              <w:t>提供“三证合一”的营业执照复印件加盖鲜章扫描件</w:t>
            </w:r>
          </w:p>
          <w:p w14:paraId="7F36A0E6">
            <w:pPr>
              <w:ind w:firstLine="422"/>
              <w:rPr>
                <w:rFonts w:asciiTheme="minorEastAsia" w:hAnsiTheme="minorEastAsia" w:cstheme="minorEastAsia"/>
                <w:sz w:val="24"/>
                <w:szCs w:val="24"/>
              </w:rPr>
            </w:pPr>
            <w:r>
              <w:rPr>
                <w:rFonts w:hint="eastAsia" w:asciiTheme="minorEastAsia" w:hAnsiTheme="minorEastAsia" w:cstheme="minorEastAsia"/>
                <w:sz w:val="24"/>
                <w:szCs w:val="24"/>
              </w:rPr>
              <w:t>报名截止时间：2026年</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rPr>
              <w:t>月</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rPr>
              <w:t>日下午14:00</w:t>
            </w:r>
          </w:p>
        </w:tc>
      </w:tr>
      <w:tr w14:paraId="25CA3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1EA54D53">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9</w:t>
            </w:r>
          </w:p>
        </w:tc>
        <w:tc>
          <w:tcPr>
            <w:tcW w:w="1663" w:type="dxa"/>
            <w:vAlign w:val="center"/>
          </w:tcPr>
          <w:p w14:paraId="46942CD0">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现场勘察时间</w:t>
            </w:r>
          </w:p>
        </w:tc>
        <w:tc>
          <w:tcPr>
            <w:tcW w:w="7130" w:type="dxa"/>
            <w:vAlign w:val="center"/>
          </w:tcPr>
          <w:p w14:paraId="3D88023A">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请在工作日8：00-11:30,14:00-17：00联系</w:t>
            </w:r>
          </w:p>
        </w:tc>
      </w:tr>
      <w:tr w14:paraId="6CB3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5A863E8A">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10</w:t>
            </w:r>
          </w:p>
        </w:tc>
        <w:tc>
          <w:tcPr>
            <w:tcW w:w="1663" w:type="dxa"/>
            <w:vAlign w:val="center"/>
          </w:tcPr>
          <w:p w14:paraId="6B1A2CD7">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付款方式</w:t>
            </w:r>
          </w:p>
        </w:tc>
        <w:tc>
          <w:tcPr>
            <w:tcW w:w="7130" w:type="dxa"/>
            <w:vAlign w:val="center"/>
          </w:tcPr>
          <w:p w14:paraId="663725D8">
            <w:pPr>
              <w:pStyle w:val="17"/>
              <w:ind w:firstLine="422"/>
              <w:rPr>
                <w:rFonts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lang w:val="en-US" w:eastAsia="zh-CN"/>
              </w:rPr>
              <w:t>每半年</w:t>
            </w:r>
            <w:r>
              <w:rPr>
                <w:rFonts w:hint="eastAsia" w:asciiTheme="minorEastAsia" w:hAnsiTheme="minorEastAsia" w:eastAsiaTheme="minorEastAsia" w:cstheme="minorEastAsia"/>
                <w:color w:val="auto"/>
                <w:szCs w:val="24"/>
              </w:rPr>
              <w:t>付款一次，经考核合格后支付当期维保费。</w:t>
            </w:r>
          </w:p>
        </w:tc>
      </w:tr>
      <w:tr w14:paraId="484A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47ABDCBF">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11</w:t>
            </w:r>
          </w:p>
        </w:tc>
        <w:tc>
          <w:tcPr>
            <w:tcW w:w="1663" w:type="dxa"/>
            <w:vAlign w:val="center"/>
          </w:tcPr>
          <w:p w14:paraId="274055F1">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推介文件组成</w:t>
            </w:r>
          </w:p>
        </w:tc>
        <w:tc>
          <w:tcPr>
            <w:tcW w:w="7130" w:type="dxa"/>
            <w:vAlign w:val="center"/>
          </w:tcPr>
          <w:p w14:paraId="6A2DCE1F">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一、推介文件组成：</w:t>
            </w:r>
          </w:p>
          <w:p w14:paraId="7A4977B7">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1.基本资格条件证明材料</w:t>
            </w:r>
          </w:p>
          <w:p w14:paraId="6F829C5E">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1.1企业营业执照【提供复印件需加盖公章（原件备查）】</w:t>
            </w:r>
          </w:p>
          <w:p w14:paraId="00B5A9C7">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1.2.法定代表人身份证明【格式1】</w:t>
            </w:r>
          </w:p>
          <w:p w14:paraId="543EF2DC">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1.3法定代表人授权委托书【格式2，法人本人到场的无需提供】</w:t>
            </w:r>
          </w:p>
          <w:p w14:paraId="0DF7CB47">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2.报价书（附明细清单）</w:t>
            </w:r>
          </w:p>
          <w:p w14:paraId="763E0A34">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3.维保方案（格式自拟）</w:t>
            </w:r>
            <w:bookmarkStart w:id="1" w:name="_GoBack"/>
            <w:bookmarkEnd w:id="1"/>
          </w:p>
          <w:p w14:paraId="451A5B8F">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4.推介参数表（格式3）</w:t>
            </w:r>
          </w:p>
          <w:p w14:paraId="1F3761BB">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二、文件格式：</w:t>
            </w:r>
          </w:p>
          <w:p w14:paraId="2AAD022D">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1.签字盖章要求</w:t>
            </w:r>
          </w:p>
          <w:p w14:paraId="4A393783">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1.1推介文件正、副本封面均须法定代表人或其委托代理人签字、加盖竞选单位公章（鲜章），正、副本均须加盖骑缝章（鲜章）；</w:t>
            </w:r>
          </w:p>
          <w:p w14:paraId="10137B27">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1.2招标文件正本内页要求签字、盖章的地方均须由法定代表人或其委托代理人签字、加盖竞选单位公章（鲜章）；推介文件副本内页可以是正本的复印件。</w:t>
            </w:r>
          </w:p>
          <w:p w14:paraId="5668437C">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2.装订要求</w:t>
            </w:r>
          </w:p>
          <w:p w14:paraId="78F1CE5A">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推介文件的正本与副本应分别装订成册，采用胶订、平订或线订等，不得采用活页装订方式。</w:t>
            </w:r>
          </w:p>
          <w:p w14:paraId="6F863885">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3.份数要求：1份正本，1份副本。（须在封面注明）</w:t>
            </w:r>
          </w:p>
          <w:p w14:paraId="0B3340D4">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4.密封要求：将装订好的招标文件正、副本封装在一个文件袋内，并在袋上加盖竞选单位公章。</w:t>
            </w:r>
          </w:p>
        </w:tc>
      </w:tr>
      <w:tr w14:paraId="1F4B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855" w:type="dxa"/>
            <w:vAlign w:val="center"/>
          </w:tcPr>
          <w:p w14:paraId="757D8C7A">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12</w:t>
            </w:r>
          </w:p>
        </w:tc>
        <w:tc>
          <w:tcPr>
            <w:tcW w:w="1663" w:type="dxa"/>
            <w:vAlign w:val="center"/>
          </w:tcPr>
          <w:p w14:paraId="6C831EAD">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递交文件地点</w:t>
            </w:r>
          </w:p>
        </w:tc>
        <w:tc>
          <w:tcPr>
            <w:tcW w:w="7130" w:type="dxa"/>
            <w:vAlign w:val="center"/>
          </w:tcPr>
          <w:p w14:paraId="7D3CC483">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推介现场同时递交</w:t>
            </w:r>
          </w:p>
        </w:tc>
      </w:tr>
      <w:tr w14:paraId="6228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855" w:type="dxa"/>
            <w:vAlign w:val="center"/>
          </w:tcPr>
          <w:p w14:paraId="38C07C3D">
            <w:pPr>
              <w:pStyle w:val="17"/>
              <w:ind w:left="0" w:leftChars="0" w:firstLine="0" w:firstLineChars="0"/>
              <w:jc w:val="center"/>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13</w:t>
            </w:r>
          </w:p>
        </w:tc>
        <w:tc>
          <w:tcPr>
            <w:tcW w:w="1663" w:type="dxa"/>
            <w:vAlign w:val="center"/>
          </w:tcPr>
          <w:p w14:paraId="4B6B0547">
            <w:pPr>
              <w:pStyle w:val="17"/>
              <w:ind w:left="0" w:leftChars="0" w:firstLine="0" w:firstLineChars="0"/>
              <w:jc w:val="both"/>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联系人及方式</w:t>
            </w:r>
          </w:p>
        </w:tc>
        <w:tc>
          <w:tcPr>
            <w:tcW w:w="7130" w:type="dxa"/>
            <w:vAlign w:val="center"/>
          </w:tcPr>
          <w:p w14:paraId="63B65BD1">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联系地址：南岸区天文大道288号重医附二院江南院区全科楼后勤处办公室（607办公室）</w:t>
            </w:r>
          </w:p>
          <w:p w14:paraId="65ED57C3">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联 系 人：</w:t>
            </w:r>
            <w:r>
              <w:rPr>
                <w:rFonts w:hint="eastAsia" w:asciiTheme="minorEastAsia" w:hAnsiTheme="minorEastAsia" w:eastAsiaTheme="minorEastAsia" w:cstheme="minorEastAsia"/>
                <w:szCs w:val="24"/>
                <w:lang w:val="en-US" w:eastAsia="zh-CN"/>
              </w:rPr>
              <w:t>李</w:t>
            </w:r>
            <w:r>
              <w:rPr>
                <w:rFonts w:hint="eastAsia" w:asciiTheme="minorEastAsia" w:hAnsiTheme="minorEastAsia" w:eastAsiaTheme="minorEastAsia" w:cstheme="minorEastAsia"/>
                <w:szCs w:val="24"/>
              </w:rPr>
              <w:t>老师     联系电话：023-63693</w:t>
            </w:r>
            <w:r>
              <w:rPr>
                <w:rFonts w:hint="eastAsia" w:asciiTheme="minorEastAsia" w:hAnsiTheme="minorEastAsia" w:eastAsiaTheme="minorEastAsia" w:cstheme="minorEastAsia"/>
                <w:szCs w:val="24"/>
                <w:lang w:val="en-US" w:eastAsia="zh-CN"/>
              </w:rPr>
              <w:t>152</w:t>
            </w:r>
            <w:r>
              <w:rPr>
                <w:rFonts w:hint="eastAsia" w:asciiTheme="minorEastAsia" w:hAnsiTheme="minorEastAsia" w:eastAsiaTheme="minorEastAsia" w:cstheme="minorEastAsia"/>
                <w:szCs w:val="24"/>
              </w:rPr>
              <w:t>/023-62888246</w:t>
            </w:r>
          </w:p>
          <w:p w14:paraId="5D4CB0D3">
            <w:pPr>
              <w:pStyle w:val="17"/>
              <w:ind w:firstLine="422"/>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 xml:space="preserve">         俱老师（现场踏勘）   15823049764</w:t>
            </w:r>
          </w:p>
        </w:tc>
      </w:tr>
    </w:tbl>
    <w:p w14:paraId="45A1BFE6">
      <w:pPr>
        <w:ind w:firstLine="370"/>
      </w:pPr>
    </w:p>
    <w:p w14:paraId="6C8E96CF">
      <w:pPr>
        <w:ind w:firstLine="370"/>
      </w:pPr>
    </w:p>
    <w:p w14:paraId="61C904E5">
      <w:pPr>
        <w:spacing w:line="360" w:lineRule="auto"/>
        <w:rPr>
          <w:rFonts w:ascii="黑体" w:hAnsi="黑体" w:eastAsia="黑体" w:cs="Times New Roman"/>
          <w:kern w:val="0"/>
          <w:sz w:val="24"/>
          <w:szCs w:val="20"/>
        </w:rPr>
      </w:pPr>
      <w:r>
        <w:rPr>
          <w:rFonts w:ascii="黑体" w:hAnsi="黑体" w:eastAsia="黑体" w:cs="Times New Roman"/>
          <w:kern w:val="0"/>
          <w:sz w:val="24"/>
          <w:szCs w:val="20"/>
        </w:rPr>
        <w:t>（</w:t>
      </w:r>
      <w:r>
        <w:rPr>
          <w:rFonts w:hint="eastAsia" w:ascii="黑体" w:hAnsi="黑体" w:eastAsia="黑体" w:cs="Times New Roman"/>
          <w:kern w:val="0"/>
          <w:sz w:val="24"/>
          <w:szCs w:val="20"/>
        </w:rPr>
        <w:t>格式1</w:t>
      </w:r>
      <w:r>
        <w:rPr>
          <w:rFonts w:ascii="黑体" w:hAnsi="黑体" w:eastAsia="黑体" w:cs="Times New Roman"/>
          <w:kern w:val="0"/>
          <w:sz w:val="24"/>
          <w:szCs w:val="20"/>
        </w:rPr>
        <w:t>）</w:t>
      </w:r>
    </w:p>
    <w:p w14:paraId="0517F1B5">
      <w:pPr>
        <w:spacing w:line="360" w:lineRule="auto"/>
        <w:ind w:firstLine="211" w:firstLineChars="100"/>
        <w:jc w:val="center"/>
        <w:rPr>
          <w:rFonts w:ascii="宋体"/>
          <w:b/>
          <w:szCs w:val="21"/>
        </w:rPr>
      </w:pPr>
      <w:r>
        <w:rPr>
          <w:rFonts w:hint="eastAsia" w:ascii="宋体" w:hAnsi="宋体"/>
          <w:b/>
          <w:szCs w:val="21"/>
        </w:rPr>
        <w:t>法定代表人身份证明</w:t>
      </w:r>
    </w:p>
    <w:p w14:paraId="62EE23D4">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1F58B2FE">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79265A78">
      <w:pPr>
        <w:autoSpaceDE w:val="0"/>
        <w:autoSpaceDN w:val="0"/>
        <w:adjustRightInd w:val="0"/>
        <w:snapToGrid w:val="0"/>
        <w:spacing w:line="360" w:lineRule="auto"/>
        <w:ind w:firstLine="390" w:firstLineChars="186"/>
        <w:jc w:val="left"/>
        <w:rPr>
          <w:rFonts w:ascii="宋体" w:cs="Arial"/>
          <w:kern w:val="0"/>
          <w:szCs w:val="21"/>
        </w:rPr>
      </w:pPr>
    </w:p>
    <w:p w14:paraId="04845C14">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0A2E69A7">
      <w:pPr>
        <w:autoSpaceDE w:val="0"/>
        <w:autoSpaceDN w:val="0"/>
        <w:adjustRightInd w:val="0"/>
        <w:snapToGrid w:val="0"/>
        <w:spacing w:line="360" w:lineRule="auto"/>
        <w:ind w:firstLine="390" w:firstLineChars="186"/>
        <w:jc w:val="left"/>
        <w:rPr>
          <w:rFonts w:ascii="宋体" w:cs="Arial"/>
          <w:kern w:val="0"/>
          <w:szCs w:val="21"/>
        </w:rPr>
      </w:pPr>
    </w:p>
    <w:p w14:paraId="2E6C46D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25390BD4">
      <w:pPr>
        <w:autoSpaceDE w:val="0"/>
        <w:autoSpaceDN w:val="0"/>
        <w:adjustRightInd w:val="0"/>
        <w:snapToGrid w:val="0"/>
        <w:spacing w:line="360" w:lineRule="auto"/>
        <w:ind w:firstLine="390" w:firstLineChars="186"/>
        <w:jc w:val="left"/>
        <w:rPr>
          <w:rFonts w:ascii="宋体" w:cs="Arial"/>
          <w:kern w:val="0"/>
          <w:szCs w:val="21"/>
        </w:rPr>
      </w:pPr>
    </w:p>
    <w:p w14:paraId="6F4B40DF">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62039CC2">
      <w:pPr>
        <w:autoSpaceDE w:val="0"/>
        <w:autoSpaceDN w:val="0"/>
        <w:adjustRightInd w:val="0"/>
        <w:snapToGrid w:val="0"/>
        <w:spacing w:line="360" w:lineRule="auto"/>
        <w:ind w:firstLine="390" w:firstLineChars="186"/>
        <w:jc w:val="left"/>
        <w:rPr>
          <w:rFonts w:ascii="宋体" w:cs="Arial"/>
          <w:kern w:val="0"/>
          <w:szCs w:val="21"/>
        </w:rPr>
      </w:pPr>
    </w:p>
    <w:p w14:paraId="70BC675C">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19D31EF1">
      <w:pPr>
        <w:autoSpaceDE w:val="0"/>
        <w:autoSpaceDN w:val="0"/>
        <w:adjustRightInd w:val="0"/>
        <w:snapToGrid w:val="0"/>
        <w:spacing w:line="360" w:lineRule="auto"/>
        <w:ind w:firstLine="390" w:firstLineChars="186"/>
        <w:jc w:val="left"/>
        <w:rPr>
          <w:rFonts w:ascii="宋体" w:cs="Arial"/>
          <w:kern w:val="0"/>
          <w:szCs w:val="21"/>
        </w:rPr>
      </w:pPr>
    </w:p>
    <w:p w14:paraId="47712301">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46442B8C">
      <w:pPr>
        <w:autoSpaceDE w:val="0"/>
        <w:autoSpaceDN w:val="0"/>
        <w:adjustRightInd w:val="0"/>
        <w:snapToGrid w:val="0"/>
        <w:spacing w:line="360" w:lineRule="auto"/>
        <w:ind w:firstLine="390" w:firstLineChars="186"/>
        <w:jc w:val="left"/>
        <w:rPr>
          <w:rFonts w:ascii="宋体" w:cs="Arial"/>
          <w:kern w:val="0"/>
          <w:szCs w:val="21"/>
        </w:rPr>
      </w:pPr>
    </w:p>
    <w:p w14:paraId="1D1B6DAA">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5F064AE3">
      <w:pPr>
        <w:autoSpaceDE w:val="0"/>
        <w:autoSpaceDN w:val="0"/>
        <w:adjustRightInd w:val="0"/>
        <w:snapToGrid w:val="0"/>
        <w:spacing w:line="360" w:lineRule="auto"/>
        <w:ind w:firstLine="390" w:firstLineChars="186"/>
        <w:jc w:val="left"/>
        <w:rPr>
          <w:rFonts w:ascii="宋体" w:cs="Arial"/>
          <w:kern w:val="0"/>
          <w:szCs w:val="21"/>
        </w:rPr>
      </w:pPr>
    </w:p>
    <w:p w14:paraId="0C3D155B">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4F28F262">
      <w:pPr>
        <w:autoSpaceDE w:val="0"/>
        <w:autoSpaceDN w:val="0"/>
        <w:adjustRightInd w:val="0"/>
        <w:snapToGrid w:val="0"/>
        <w:spacing w:line="360" w:lineRule="auto"/>
        <w:jc w:val="left"/>
        <w:rPr>
          <w:rFonts w:ascii="宋体" w:cs="Arial"/>
          <w:kern w:val="0"/>
          <w:szCs w:val="21"/>
        </w:rPr>
      </w:pPr>
    </w:p>
    <w:p w14:paraId="5170F247">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3A3CF062">
      <w:pPr>
        <w:autoSpaceDE w:val="0"/>
        <w:autoSpaceDN w:val="0"/>
        <w:adjustRightInd w:val="0"/>
        <w:snapToGrid w:val="0"/>
        <w:spacing w:line="360" w:lineRule="auto"/>
        <w:jc w:val="left"/>
        <w:rPr>
          <w:rFonts w:ascii="宋体" w:cs="Arial"/>
          <w:kern w:val="0"/>
          <w:szCs w:val="21"/>
        </w:rPr>
      </w:pPr>
    </w:p>
    <w:p w14:paraId="4B240106">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36607499">
      <w:pPr>
        <w:autoSpaceDE w:val="0"/>
        <w:autoSpaceDN w:val="0"/>
        <w:adjustRightInd w:val="0"/>
        <w:snapToGrid w:val="0"/>
        <w:spacing w:line="360" w:lineRule="auto"/>
        <w:jc w:val="left"/>
        <w:rPr>
          <w:rFonts w:ascii="宋体" w:cs="Arial"/>
          <w:kern w:val="0"/>
          <w:szCs w:val="21"/>
        </w:rPr>
      </w:pPr>
    </w:p>
    <w:p w14:paraId="6B9646EF">
      <w:pPr>
        <w:autoSpaceDE w:val="0"/>
        <w:autoSpaceDN w:val="0"/>
        <w:adjustRightInd w:val="0"/>
        <w:snapToGrid w:val="0"/>
        <w:spacing w:line="360" w:lineRule="auto"/>
        <w:jc w:val="left"/>
        <w:rPr>
          <w:rFonts w:ascii="宋体" w:cs="Arial"/>
          <w:kern w:val="0"/>
          <w:szCs w:val="21"/>
        </w:rPr>
      </w:pPr>
    </w:p>
    <w:p w14:paraId="4578A8CB">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11538FC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502C06CA">
            <w:pPr>
              <w:spacing w:line="360" w:lineRule="auto"/>
              <w:rPr>
                <w:rFonts w:ascii="宋体"/>
                <w:b/>
                <w:szCs w:val="21"/>
              </w:rPr>
            </w:pPr>
          </w:p>
          <w:p w14:paraId="5016CF97">
            <w:pPr>
              <w:spacing w:line="360" w:lineRule="auto"/>
              <w:rPr>
                <w:rFonts w:ascii="宋体"/>
                <w:b/>
                <w:szCs w:val="21"/>
              </w:rPr>
            </w:pPr>
            <w:r>
              <w:rPr>
                <w:rFonts w:hint="eastAsia" w:ascii="宋体" w:hAnsi="宋体"/>
                <w:b/>
                <w:szCs w:val="21"/>
              </w:rPr>
              <w:t>法定代表人身份证正面复印件</w:t>
            </w:r>
          </w:p>
          <w:p w14:paraId="147977F6">
            <w:pPr>
              <w:spacing w:line="360" w:lineRule="auto"/>
              <w:rPr>
                <w:rFonts w:ascii="宋体"/>
                <w:b/>
                <w:szCs w:val="21"/>
              </w:rPr>
            </w:pPr>
          </w:p>
        </w:tc>
      </w:tr>
    </w:tbl>
    <w:p w14:paraId="476FC100">
      <w:pPr>
        <w:spacing w:line="360" w:lineRule="auto"/>
        <w:rPr>
          <w:rFonts w:ascii="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7B6CB7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016D7A88">
            <w:pPr>
              <w:spacing w:line="360" w:lineRule="auto"/>
              <w:rPr>
                <w:rFonts w:ascii="宋体"/>
                <w:b/>
                <w:szCs w:val="21"/>
              </w:rPr>
            </w:pPr>
          </w:p>
          <w:p w14:paraId="74E9C142">
            <w:pPr>
              <w:spacing w:line="360" w:lineRule="auto"/>
              <w:rPr>
                <w:rFonts w:ascii="宋体"/>
                <w:b/>
                <w:szCs w:val="21"/>
              </w:rPr>
            </w:pPr>
            <w:r>
              <w:rPr>
                <w:rFonts w:hint="eastAsia" w:ascii="宋体" w:hAnsi="宋体"/>
                <w:b/>
                <w:szCs w:val="21"/>
              </w:rPr>
              <w:t>法定代表人身份证反面复印件</w:t>
            </w:r>
          </w:p>
        </w:tc>
      </w:tr>
    </w:tbl>
    <w:p w14:paraId="57F3D661">
      <w:pPr>
        <w:spacing w:line="360" w:lineRule="auto"/>
        <w:rPr>
          <w:rFonts w:ascii="宋体" w:cs="Calibri"/>
          <w:smallCaps/>
          <w:vanish/>
          <w:szCs w:val="21"/>
        </w:rPr>
      </w:pPr>
    </w:p>
    <w:p w14:paraId="6569A3BB">
      <w:pPr>
        <w:spacing w:line="360" w:lineRule="auto"/>
        <w:rPr>
          <w:rFonts w:ascii="宋体" w:cs="Calibri"/>
          <w:smallCaps/>
          <w:vanish/>
          <w:szCs w:val="21"/>
        </w:rPr>
      </w:pPr>
    </w:p>
    <w:p w14:paraId="141FD4B8">
      <w:pPr>
        <w:spacing w:line="360" w:lineRule="auto"/>
        <w:rPr>
          <w:rFonts w:ascii="宋体" w:cs="Arial"/>
          <w:szCs w:val="21"/>
        </w:rPr>
      </w:pPr>
    </w:p>
    <w:p w14:paraId="46A80D31">
      <w:pPr>
        <w:spacing w:line="360" w:lineRule="auto"/>
        <w:ind w:left="720"/>
        <w:rPr>
          <w:rFonts w:ascii="宋体" w:cs="Arial"/>
          <w:szCs w:val="21"/>
        </w:rPr>
      </w:pPr>
    </w:p>
    <w:p w14:paraId="0CAA3293">
      <w:pPr>
        <w:spacing w:line="360" w:lineRule="auto"/>
        <w:ind w:left="720"/>
        <w:rPr>
          <w:rFonts w:ascii="宋体" w:cs="Arial"/>
          <w:szCs w:val="21"/>
        </w:rPr>
      </w:pPr>
    </w:p>
    <w:p w14:paraId="37F9521C">
      <w:pPr>
        <w:spacing w:line="360" w:lineRule="auto"/>
        <w:ind w:left="720"/>
        <w:rPr>
          <w:rFonts w:ascii="宋体" w:cs="Arial"/>
          <w:szCs w:val="21"/>
        </w:rPr>
      </w:pPr>
    </w:p>
    <w:p w14:paraId="252022C4">
      <w:pPr>
        <w:spacing w:line="360" w:lineRule="auto"/>
        <w:ind w:left="720"/>
        <w:rPr>
          <w:rFonts w:ascii="宋体" w:cs="Arial"/>
          <w:szCs w:val="21"/>
        </w:rPr>
      </w:pPr>
    </w:p>
    <w:p w14:paraId="47E62281">
      <w:pPr>
        <w:ind w:left="0" w:leftChars="0" w:firstLine="0" w:firstLineChars="0"/>
      </w:pPr>
    </w:p>
    <w:p w14:paraId="76B3CE75">
      <w:pPr>
        <w:rPr>
          <w:rFonts w:ascii="黑体" w:eastAsia="黑体"/>
          <w:sz w:val="24"/>
        </w:rPr>
      </w:pPr>
      <w:r>
        <w:rPr>
          <w:rFonts w:ascii="宋体" w:hAnsi="宋体"/>
          <w:sz w:val="28"/>
        </w:rPr>
        <w:br w:type="page"/>
      </w:r>
      <w:r>
        <w:rPr>
          <w:rFonts w:hint="eastAsia" w:ascii="黑体" w:eastAsia="黑体"/>
          <w:sz w:val="24"/>
        </w:rPr>
        <w:t>（格式</w:t>
      </w:r>
      <w:r>
        <w:rPr>
          <w:rFonts w:ascii="黑体" w:eastAsia="黑体"/>
          <w:sz w:val="24"/>
        </w:rPr>
        <w:t>2</w:t>
      </w:r>
      <w:r>
        <w:rPr>
          <w:rFonts w:hint="eastAsia" w:ascii="黑体" w:eastAsia="黑体"/>
          <w:sz w:val="24"/>
        </w:rPr>
        <w:t>）</w:t>
      </w:r>
    </w:p>
    <w:p w14:paraId="7FD6CD73">
      <w:pPr>
        <w:jc w:val="center"/>
        <w:rPr>
          <w:rFonts w:ascii="黑体" w:eastAsia="黑体"/>
          <w:sz w:val="44"/>
          <w:szCs w:val="44"/>
        </w:rPr>
      </w:pPr>
      <w:r>
        <w:rPr>
          <w:rFonts w:hint="eastAsia" w:ascii="黑体" w:eastAsia="黑体"/>
          <w:sz w:val="44"/>
          <w:szCs w:val="44"/>
        </w:rPr>
        <w:t>法定代表人授权委托书</w:t>
      </w:r>
    </w:p>
    <w:p w14:paraId="614FFB03">
      <w:pPr>
        <w:jc w:val="center"/>
        <w:rPr>
          <w:rFonts w:ascii="黑体" w:eastAsia="黑体"/>
          <w:sz w:val="44"/>
          <w:szCs w:val="44"/>
        </w:rPr>
      </w:pPr>
    </w:p>
    <w:p w14:paraId="2E0B7EF8">
      <w:pPr>
        <w:pStyle w:val="3"/>
        <w:shd w:val="clear" w:color="FFFFFF" w:fill="FFFFFF"/>
        <w:rPr>
          <w:sz w:val="28"/>
          <w:szCs w:val="28"/>
        </w:rPr>
      </w:pPr>
    </w:p>
    <w:p w14:paraId="24B702DF">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项目，代理人在阳光推介过程中所签署的一切文件和处理与之有关的一切事务，本人均予以承认。</w:t>
      </w:r>
    </w:p>
    <w:p w14:paraId="75168F84">
      <w:pPr>
        <w:pStyle w:val="3"/>
        <w:shd w:val="clear" w:color="FFFFFF" w:fill="FFFFFF"/>
        <w:spacing w:line="360" w:lineRule="auto"/>
        <w:jc w:val="both"/>
        <w:rPr>
          <w:sz w:val="28"/>
          <w:szCs w:val="28"/>
        </w:rPr>
      </w:pPr>
    </w:p>
    <w:p w14:paraId="66DCF22B">
      <w:pPr>
        <w:pStyle w:val="5"/>
        <w:spacing w:after="0" w:line="360" w:lineRule="auto"/>
        <w:ind w:left="430" w:leftChars="205" w:firstLine="140" w:firstLineChars="50"/>
        <w:rPr>
          <w:sz w:val="28"/>
          <w:szCs w:val="28"/>
        </w:rPr>
      </w:pPr>
      <w:r>
        <w:rPr>
          <w:rFonts w:hint="eastAsia"/>
          <w:sz w:val="28"/>
          <w:szCs w:val="28"/>
        </w:rPr>
        <w:t>特此授权。</w:t>
      </w:r>
    </w:p>
    <w:p w14:paraId="03CBFC58">
      <w:pPr>
        <w:pStyle w:val="2"/>
        <w:spacing w:after="0"/>
        <w:rPr>
          <w:rFonts w:ascii="宋体" w:hAnsi="宋体"/>
          <w:szCs w:val="28"/>
        </w:rPr>
      </w:pPr>
    </w:p>
    <w:p w14:paraId="75E2A5A9">
      <w:pPr>
        <w:pStyle w:val="2"/>
        <w:spacing w:after="0"/>
        <w:ind w:left="135"/>
        <w:rPr>
          <w:rFonts w:ascii="宋体" w:hAnsi="宋体"/>
          <w:szCs w:val="28"/>
        </w:rPr>
      </w:pPr>
    </w:p>
    <w:p w14:paraId="3B208189">
      <w:pPr>
        <w:pStyle w:val="2"/>
        <w:spacing w:after="0"/>
        <w:ind w:left="135"/>
        <w:rPr>
          <w:rFonts w:ascii="宋体" w:hAnsi="宋体"/>
          <w:kern w:val="0"/>
          <w:sz w:val="28"/>
          <w:szCs w:val="28"/>
        </w:rPr>
      </w:pPr>
      <w:r>
        <w:rPr>
          <w:rFonts w:hint="eastAsia" w:ascii="宋体" w:hAnsi="宋体"/>
          <w:kern w:val="0"/>
          <w:sz w:val="28"/>
          <w:szCs w:val="28"/>
        </w:rPr>
        <w:t>被授权人：                   性别：                 年龄：</w:t>
      </w:r>
    </w:p>
    <w:p w14:paraId="52DF219A">
      <w:pPr>
        <w:pStyle w:val="2"/>
        <w:spacing w:after="0"/>
        <w:ind w:left="135"/>
        <w:rPr>
          <w:rFonts w:ascii="宋体" w:hAnsi="宋体"/>
          <w:kern w:val="0"/>
          <w:sz w:val="28"/>
          <w:szCs w:val="28"/>
        </w:rPr>
      </w:pPr>
    </w:p>
    <w:p w14:paraId="76884E6D">
      <w:pPr>
        <w:pStyle w:val="2"/>
        <w:spacing w:after="0"/>
        <w:ind w:left="135"/>
        <w:rPr>
          <w:rFonts w:ascii="宋体" w:hAnsi="宋体"/>
          <w:kern w:val="0"/>
          <w:sz w:val="28"/>
          <w:szCs w:val="28"/>
        </w:rPr>
      </w:pPr>
      <w:r>
        <w:rPr>
          <w:rFonts w:hint="eastAsia" w:ascii="宋体" w:hAnsi="宋体"/>
          <w:kern w:val="0"/>
          <w:sz w:val="28"/>
          <w:szCs w:val="28"/>
        </w:rPr>
        <w:t>单位（盖章）                 部门：                 职务：</w:t>
      </w:r>
    </w:p>
    <w:p w14:paraId="6F94B5DB">
      <w:pPr>
        <w:pStyle w:val="2"/>
        <w:spacing w:after="0"/>
        <w:rPr>
          <w:rFonts w:ascii="宋体" w:hAnsi="宋体"/>
          <w:kern w:val="0"/>
          <w:sz w:val="28"/>
          <w:szCs w:val="28"/>
        </w:rPr>
      </w:pPr>
    </w:p>
    <w:p w14:paraId="3A56067F">
      <w:pPr>
        <w:pStyle w:val="2"/>
        <w:spacing w:after="0"/>
        <w:rPr>
          <w:rFonts w:ascii="宋体" w:hAnsi="宋体"/>
          <w:kern w:val="0"/>
          <w:sz w:val="28"/>
          <w:szCs w:val="28"/>
        </w:rPr>
      </w:pPr>
      <w:r>
        <w:rPr>
          <w:rFonts w:hint="eastAsia" w:ascii="宋体" w:hAnsi="宋体"/>
          <w:kern w:val="0"/>
          <w:sz w:val="28"/>
          <w:szCs w:val="28"/>
        </w:rPr>
        <w:t>法定代表人：（签字）</w:t>
      </w:r>
    </w:p>
    <w:p w14:paraId="14F27753">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62EF41F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26DF4A">
            <w:pPr>
              <w:spacing w:line="360" w:lineRule="auto"/>
              <w:rPr>
                <w:rFonts w:ascii="宋体"/>
                <w:b/>
                <w:szCs w:val="21"/>
              </w:rPr>
            </w:pPr>
          </w:p>
          <w:p w14:paraId="12B03BBE">
            <w:pPr>
              <w:spacing w:line="360" w:lineRule="auto"/>
              <w:rPr>
                <w:rFonts w:ascii="宋体"/>
                <w:b/>
                <w:szCs w:val="21"/>
              </w:rPr>
            </w:pPr>
            <w:r>
              <w:rPr>
                <w:rFonts w:hint="eastAsia" w:ascii="宋体" w:hAnsi="宋体"/>
                <w:b/>
                <w:szCs w:val="21"/>
              </w:rPr>
              <w:t>公司代理人身份证正面复印件</w:t>
            </w:r>
          </w:p>
          <w:p w14:paraId="357E3B8C">
            <w:pPr>
              <w:spacing w:line="360" w:lineRule="auto"/>
              <w:rPr>
                <w:rFonts w:ascii="宋体"/>
                <w:b/>
                <w:szCs w:val="21"/>
              </w:rPr>
            </w:pPr>
          </w:p>
        </w:tc>
      </w:tr>
    </w:tbl>
    <w:p w14:paraId="568BFC84">
      <w:pPr>
        <w:spacing w:line="360" w:lineRule="auto"/>
        <w:rPr>
          <w:rFonts w:ascii="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5CA3D6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DA6EB4">
            <w:pPr>
              <w:spacing w:line="360" w:lineRule="auto"/>
              <w:rPr>
                <w:rFonts w:ascii="宋体"/>
                <w:b/>
                <w:szCs w:val="21"/>
              </w:rPr>
            </w:pPr>
          </w:p>
          <w:p w14:paraId="4B65ED10">
            <w:pPr>
              <w:spacing w:line="360" w:lineRule="auto"/>
              <w:rPr>
                <w:rFonts w:ascii="宋体"/>
                <w:b/>
                <w:szCs w:val="21"/>
              </w:rPr>
            </w:pPr>
            <w:r>
              <w:rPr>
                <w:rFonts w:hint="eastAsia" w:ascii="宋体" w:hAnsi="宋体"/>
                <w:b/>
                <w:szCs w:val="21"/>
              </w:rPr>
              <w:t>公司代理人身份证反面复印件</w:t>
            </w:r>
          </w:p>
        </w:tc>
      </w:tr>
    </w:tbl>
    <w:p w14:paraId="2841F960">
      <w:pPr>
        <w:spacing w:line="360" w:lineRule="auto"/>
        <w:rPr>
          <w:rFonts w:ascii="宋体" w:cs="Calibri"/>
          <w:smallCaps/>
          <w:vanish/>
          <w:szCs w:val="21"/>
        </w:rPr>
      </w:pPr>
    </w:p>
    <w:p w14:paraId="2DA28465">
      <w:pPr>
        <w:spacing w:line="360" w:lineRule="auto"/>
        <w:rPr>
          <w:rFonts w:ascii="宋体" w:cs="Calibri"/>
          <w:smallCaps/>
          <w:vanish/>
          <w:szCs w:val="21"/>
        </w:rPr>
      </w:pPr>
    </w:p>
    <w:p w14:paraId="0BDFAADF">
      <w:pPr>
        <w:spacing w:line="360" w:lineRule="auto"/>
        <w:rPr>
          <w:rFonts w:ascii="宋体" w:cs="Arial"/>
          <w:szCs w:val="21"/>
        </w:rPr>
      </w:pPr>
    </w:p>
    <w:p w14:paraId="4CAA5758">
      <w:pPr>
        <w:spacing w:line="360" w:lineRule="auto"/>
        <w:ind w:left="720"/>
        <w:rPr>
          <w:rFonts w:ascii="宋体" w:cs="Arial"/>
          <w:szCs w:val="21"/>
        </w:rPr>
      </w:pPr>
    </w:p>
    <w:p w14:paraId="5ED3B7F8">
      <w:pPr>
        <w:spacing w:line="360" w:lineRule="auto"/>
        <w:ind w:left="720"/>
        <w:rPr>
          <w:rFonts w:ascii="宋体" w:cs="Arial"/>
          <w:szCs w:val="21"/>
        </w:rPr>
      </w:pPr>
    </w:p>
    <w:p w14:paraId="7B1A6668">
      <w:pPr>
        <w:spacing w:line="360" w:lineRule="auto"/>
        <w:ind w:left="720"/>
        <w:rPr>
          <w:rFonts w:ascii="宋体" w:cs="Arial"/>
          <w:szCs w:val="21"/>
        </w:rPr>
      </w:pPr>
    </w:p>
    <w:p w14:paraId="5B9D20D9">
      <w:pPr>
        <w:ind w:left="279" w:leftChars="133" w:firstLine="280" w:firstLineChars="100"/>
        <w:jc w:val="right"/>
        <w:rPr>
          <w:rFonts w:ascii="宋体" w:hAnsi="宋体"/>
          <w:sz w:val="28"/>
        </w:rPr>
      </w:pPr>
      <w:r>
        <w:rPr>
          <w:rFonts w:hint="eastAsia" w:ascii="宋体" w:hAnsi="宋体"/>
          <w:sz w:val="28"/>
        </w:rPr>
        <w:t xml:space="preserve">                 日期：    年    月   日</w:t>
      </w:r>
    </w:p>
    <w:p w14:paraId="521B4456">
      <w:pPr>
        <w:snapToGrid w:val="0"/>
        <w:spacing w:line="360" w:lineRule="auto"/>
        <w:rPr>
          <w:kern w:val="0"/>
        </w:rPr>
      </w:pPr>
      <w:r>
        <w:rPr>
          <w:rFonts w:hint="eastAsia" w:ascii="黑体" w:eastAsia="黑体"/>
          <w:sz w:val="24"/>
        </w:rPr>
        <w:t>（格式</w:t>
      </w:r>
      <w:r>
        <w:rPr>
          <w:rFonts w:hint="eastAsia" w:ascii="黑体" w:eastAsia="黑体"/>
          <w:sz w:val="24"/>
          <w:lang w:val="en-US" w:eastAsia="zh-CN"/>
        </w:rPr>
        <w:t>3</w:t>
      </w:r>
      <w:r>
        <w:rPr>
          <w:rFonts w:hint="eastAsia" w:ascii="黑体" w:eastAsia="黑体"/>
          <w:sz w:val="24"/>
        </w:rPr>
        <w:t>）</w:t>
      </w:r>
    </w:p>
    <w:p w14:paraId="77BAE39B">
      <w:pPr>
        <w:widowControl/>
        <w:tabs>
          <w:tab w:val="left" w:pos="720"/>
        </w:tabs>
        <w:spacing w:before="156" w:beforeLines="50" w:line="360" w:lineRule="auto"/>
        <w:rPr>
          <w:color w:val="000000"/>
          <w:kern w:val="0"/>
          <w:sz w:val="30"/>
          <w:szCs w:val="30"/>
        </w:rPr>
      </w:pPr>
    </w:p>
    <w:p w14:paraId="3673C852">
      <w:pPr>
        <w:pStyle w:val="19"/>
        <w:spacing w:before="156" w:after="156" w:line="360" w:lineRule="auto"/>
        <w:rPr>
          <w:sz w:val="44"/>
          <w:szCs w:val="44"/>
        </w:rPr>
      </w:pPr>
      <w:r>
        <w:rPr>
          <w:rFonts w:hint="eastAsia"/>
          <w:sz w:val="44"/>
          <w:szCs w:val="44"/>
        </w:rPr>
        <w:t>报价书（格式）</w:t>
      </w:r>
    </w:p>
    <w:p w14:paraId="1A4B06D8">
      <w:pPr>
        <w:pStyle w:val="17"/>
        <w:spacing w:line="360" w:lineRule="auto"/>
        <w:ind w:firstLine="539"/>
        <w:rPr>
          <w:sz w:val="28"/>
          <w:szCs w:val="28"/>
        </w:rPr>
      </w:pPr>
    </w:p>
    <w:p w14:paraId="72ACAEA5">
      <w:pPr>
        <w:pStyle w:val="17"/>
        <w:spacing w:line="360" w:lineRule="auto"/>
        <w:ind w:firstLine="539"/>
        <w:rPr>
          <w:sz w:val="28"/>
          <w:szCs w:val="28"/>
        </w:rPr>
      </w:pPr>
      <w:r>
        <w:rPr>
          <w:rFonts w:hint="eastAsia"/>
          <w:sz w:val="28"/>
          <w:szCs w:val="28"/>
        </w:rPr>
        <w:t>致：重庆医科大学附属第二医院</w:t>
      </w:r>
    </w:p>
    <w:p w14:paraId="2F663CA6">
      <w:pPr>
        <w:pStyle w:val="17"/>
        <w:spacing w:line="360" w:lineRule="auto"/>
        <w:ind w:firstLine="539"/>
        <w:rPr>
          <w:sz w:val="28"/>
          <w:szCs w:val="28"/>
        </w:rPr>
      </w:pPr>
      <w:r>
        <w:rPr>
          <w:rFonts w:hint="eastAsia"/>
          <w:sz w:val="28"/>
          <w:szCs w:val="28"/>
        </w:rPr>
        <w:t>我们已经仔细地研究了</w:t>
      </w:r>
      <w:r>
        <w:rPr>
          <w:rFonts w:hint="eastAsia"/>
          <w:sz w:val="28"/>
          <w:szCs w:val="28"/>
          <w:u w:val="single"/>
        </w:rPr>
        <w:t xml:space="preserve">                  </w:t>
      </w:r>
      <w:r>
        <w:rPr>
          <w:rFonts w:hint="eastAsia"/>
          <w:sz w:val="28"/>
          <w:szCs w:val="28"/>
        </w:rPr>
        <w:t>项目推介文件的全部内容。我们已完全理解了推介文件规定的要求，并考虑到了潜在所有风险。据此，我们承诺结合本项目特点及我方实际情况，按</w:t>
      </w:r>
      <w:r>
        <w:rPr>
          <w:sz w:val="28"/>
          <w:szCs w:val="28"/>
        </w:rPr>
        <w:t>以</w:t>
      </w:r>
      <w:r>
        <w:rPr>
          <w:rFonts w:hint="eastAsia"/>
          <w:sz w:val="28"/>
          <w:szCs w:val="28"/>
        </w:rPr>
        <w:t>下标准报价。</w:t>
      </w:r>
    </w:p>
    <w:p w14:paraId="291F28CE">
      <w:pPr>
        <w:pStyle w:val="17"/>
        <w:tabs>
          <w:tab w:val="left" w:pos="0"/>
          <w:tab w:val="clear" w:pos="900"/>
          <w:tab w:val="clear" w:pos="1620"/>
        </w:tabs>
        <w:spacing w:line="360" w:lineRule="auto"/>
        <w:ind w:firstLine="560" w:firstLineChars="200"/>
        <w:jc w:val="left"/>
        <w:rPr>
          <w:rFonts w:hint="default" w:eastAsia="仿宋_GB2312"/>
          <w:sz w:val="28"/>
          <w:szCs w:val="28"/>
          <w:lang w:val="en-US" w:eastAsia="zh-CN"/>
        </w:rPr>
      </w:pPr>
      <w:r>
        <w:rPr>
          <w:rFonts w:hint="eastAsia"/>
          <w:sz w:val="28"/>
          <w:szCs w:val="28"/>
        </w:rPr>
        <w:t>江南院区安防机房基础环境维护保养服务阳光推介报价</w:t>
      </w:r>
      <w:r>
        <w:rPr>
          <w:rFonts w:hint="eastAsia"/>
          <w:sz w:val="28"/>
          <w:szCs w:val="28"/>
          <w:lang w:val="en-US" w:eastAsia="zh-CN"/>
        </w:rPr>
        <w:t>为</w:t>
      </w:r>
      <w:r>
        <w:rPr>
          <w:rFonts w:hint="eastAsia"/>
          <w:sz w:val="28"/>
          <w:szCs w:val="28"/>
          <w:u w:val="single"/>
          <w:lang w:val="en-US" w:eastAsia="zh-CN"/>
        </w:rPr>
        <w:t xml:space="preserve">      </w:t>
      </w:r>
      <w:r>
        <w:rPr>
          <w:rFonts w:hint="eastAsia"/>
          <w:sz w:val="28"/>
          <w:szCs w:val="28"/>
          <w:lang w:val="en-US" w:eastAsia="zh-CN"/>
        </w:rPr>
        <w:t>元（该价格为抵扣旧电池回收价款后的最终结算价格）。</w:t>
      </w:r>
    </w:p>
    <w:p w14:paraId="50C89857">
      <w:pPr>
        <w:pStyle w:val="17"/>
        <w:spacing w:line="360" w:lineRule="auto"/>
        <w:ind w:firstLine="0"/>
        <w:rPr>
          <w:sz w:val="30"/>
          <w:szCs w:val="30"/>
        </w:rPr>
      </w:pPr>
    </w:p>
    <w:p w14:paraId="6B6753B7">
      <w:pPr>
        <w:pStyle w:val="17"/>
        <w:spacing w:line="360" w:lineRule="auto"/>
        <w:ind w:firstLine="0"/>
        <w:rPr>
          <w:sz w:val="30"/>
          <w:szCs w:val="30"/>
        </w:rPr>
      </w:pPr>
    </w:p>
    <w:p w14:paraId="4C6371E3">
      <w:pPr>
        <w:pStyle w:val="17"/>
        <w:spacing w:line="360" w:lineRule="auto"/>
        <w:ind w:firstLine="0"/>
        <w:rPr>
          <w:sz w:val="30"/>
          <w:szCs w:val="30"/>
        </w:rPr>
      </w:pPr>
    </w:p>
    <w:p w14:paraId="5F39C92B">
      <w:pPr>
        <w:pStyle w:val="17"/>
        <w:spacing w:line="360" w:lineRule="auto"/>
        <w:ind w:firstLine="0"/>
        <w:rPr>
          <w:sz w:val="30"/>
          <w:szCs w:val="30"/>
        </w:rPr>
      </w:pPr>
    </w:p>
    <w:p w14:paraId="5AF8AAE7">
      <w:pPr>
        <w:pStyle w:val="17"/>
        <w:spacing w:line="360" w:lineRule="auto"/>
        <w:ind w:firstLine="0"/>
        <w:rPr>
          <w:sz w:val="30"/>
          <w:szCs w:val="30"/>
        </w:rPr>
      </w:pPr>
    </w:p>
    <w:p w14:paraId="79D47FDB">
      <w:pPr>
        <w:pStyle w:val="17"/>
        <w:spacing w:line="360" w:lineRule="auto"/>
        <w:ind w:firstLine="0"/>
        <w:rPr>
          <w:sz w:val="30"/>
          <w:szCs w:val="30"/>
        </w:rPr>
      </w:pPr>
    </w:p>
    <w:p w14:paraId="6F322453">
      <w:pPr>
        <w:pStyle w:val="17"/>
        <w:spacing w:line="360" w:lineRule="auto"/>
        <w:rPr>
          <w:sz w:val="30"/>
          <w:szCs w:val="30"/>
        </w:rPr>
      </w:pPr>
      <w:r>
        <w:rPr>
          <w:rFonts w:hint="eastAsia"/>
          <w:sz w:val="30"/>
          <w:szCs w:val="30"/>
        </w:rPr>
        <w:t>推介单位（盖章）：</w:t>
      </w:r>
    </w:p>
    <w:p w14:paraId="4CEEA50D">
      <w:pPr>
        <w:pStyle w:val="17"/>
        <w:spacing w:line="360" w:lineRule="auto"/>
        <w:rPr>
          <w:sz w:val="30"/>
          <w:szCs w:val="30"/>
        </w:rPr>
      </w:pPr>
      <w:r>
        <w:rPr>
          <w:rFonts w:hint="eastAsia"/>
          <w:sz w:val="30"/>
          <w:szCs w:val="30"/>
        </w:rPr>
        <w:t>法定代表人或法人授权代表（签字）：</w:t>
      </w:r>
    </w:p>
    <w:p w14:paraId="3488FBB3">
      <w:pPr>
        <w:pStyle w:val="17"/>
        <w:spacing w:line="360" w:lineRule="auto"/>
        <w:rPr>
          <w:sz w:val="30"/>
          <w:szCs w:val="30"/>
        </w:rPr>
      </w:pPr>
      <w:r>
        <w:rPr>
          <w:rFonts w:hint="eastAsia"/>
          <w:sz w:val="30"/>
          <w:szCs w:val="30"/>
        </w:rPr>
        <w:t>时间：</w:t>
      </w:r>
    </w:p>
    <w:p w14:paraId="55187EEC">
      <w:pPr>
        <w:spacing w:line="360" w:lineRule="auto"/>
        <w:rPr>
          <w:rFonts w:ascii="仿宋" w:hAnsi="仿宋" w:eastAsia="仿宋"/>
          <w:sz w:val="24"/>
          <w:szCs w:val="24"/>
        </w:rPr>
      </w:pPr>
    </w:p>
    <w:p w14:paraId="101A47B7">
      <w:pPr>
        <w:ind w:firstLine="37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9"/>
      </w:pPr>
      <w:r>
        <w:separator/>
      </w:r>
    </w:p>
  </w:endnote>
  <w:endnote w:type="continuationSeparator" w:id="1">
    <w:p>
      <w:pPr>
        <w:spacing w:line="240" w:lineRule="auto"/>
        <w:ind w:firstLine="36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42E94">
    <w:pPr>
      <w:pStyle w:val="7"/>
      <w:ind w:firstLine="3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C60E0">
    <w:pPr>
      <w:pStyle w:val="7"/>
      <w:ind w:firstLine="3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9CBB9">
    <w:pPr>
      <w:pStyle w:val="7"/>
      <w:ind w:firstLine="31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369"/>
      </w:pPr>
      <w:r>
        <w:separator/>
      </w:r>
    </w:p>
  </w:footnote>
  <w:footnote w:type="continuationSeparator" w:id="1">
    <w:p>
      <w:pPr>
        <w:spacing w:line="360" w:lineRule="auto"/>
        <w:ind w:firstLine="369"/>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AE521">
    <w:pPr>
      <w:ind w:firstLine="37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E05C7">
    <w:pPr>
      <w:pStyle w:val="8"/>
      <w:ind w:firstLine="3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55DF6">
    <w:pPr>
      <w:pStyle w:val="8"/>
      <w:ind w:firstLine="3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63600F"/>
    <w:multiLevelType w:val="singleLevel"/>
    <w:tmpl w:val="1763600F"/>
    <w:lvl w:ilvl="0" w:tentative="0">
      <w:start w:val="3"/>
      <w:numFmt w:val="decimal"/>
      <w:lvlText w:val="%1."/>
      <w:lvlJc w:val="left"/>
      <w:pPr>
        <w:tabs>
          <w:tab w:val="left" w:pos="312"/>
        </w:tabs>
      </w:pPr>
    </w:lvl>
  </w:abstractNum>
  <w:abstractNum w:abstractNumId="1">
    <w:nsid w:val="77092E3C"/>
    <w:multiLevelType w:val="singleLevel"/>
    <w:tmpl w:val="77092E3C"/>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F1408A"/>
    <w:rsid w:val="00060B85"/>
    <w:rsid w:val="000949AF"/>
    <w:rsid w:val="000F412A"/>
    <w:rsid w:val="000F4826"/>
    <w:rsid w:val="000F7F14"/>
    <w:rsid w:val="001007FD"/>
    <w:rsid w:val="00183221"/>
    <w:rsid w:val="001A78B3"/>
    <w:rsid w:val="001B4107"/>
    <w:rsid w:val="001F2AA7"/>
    <w:rsid w:val="0020632B"/>
    <w:rsid w:val="00272661"/>
    <w:rsid w:val="002817CA"/>
    <w:rsid w:val="002A4044"/>
    <w:rsid w:val="002C6009"/>
    <w:rsid w:val="002C799A"/>
    <w:rsid w:val="002E2FB0"/>
    <w:rsid w:val="002E49FF"/>
    <w:rsid w:val="00334C37"/>
    <w:rsid w:val="00351B1A"/>
    <w:rsid w:val="00357C2E"/>
    <w:rsid w:val="00382600"/>
    <w:rsid w:val="00396634"/>
    <w:rsid w:val="003970BC"/>
    <w:rsid w:val="003A52EA"/>
    <w:rsid w:val="003C70FA"/>
    <w:rsid w:val="003C7B06"/>
    <w:rsid w:val="003E69CA"/>
    <w:rsid w:val="0043332A"/>
    <w:rsid w:val="004678EE"/>
    <w:rsid w:val="00477C66"/>
    <w:rsid w:val="00491B8D"/>
    <w:rsid w:val="004E4364"/>
    <w:rsid w:val="004E637A"/>
    <w:rsid w:val="004F1D6C"/>
    <w:rsid w:val="004F4756"/>
    <w:rsid w:val="0050730B"/>
    <w:rsid w:val="00514B67"/>
    <w:rsid w:val="005542A8"/>
    <w:rsid w:val="005553CC"/>
    <w:rsid w:val="005935F0"/>
    <w:rsid w:val="005B7A99"/>
    <w:rsid w:val="005C6910"/>
    <w:rsid w:val="005F68D4"/>
    <w:rsid w:val="00606162"/>
    <w:rsid w:val="00610459"/>
    <w:rsid w:val="006105B7"/>
    <w:rsid w:val="00637A88"/>
    <w:rsid w:val="00646E90"/>
    <w:rsid w:val="00656082"/>
    <w:rsid w:val="00672B0E"/>
    <w:rsid w:val="00682F2F"/>
    <w:rsid w:val="00686AC3"/>
    <w:rsid w:val="0069340F"/>
    <w:rsid w:val="006C3804"/>
    <w:rsid w:val="006E193A"/>
    <w:rsid w:val="006F69C5"/>
    <w:rsid w:val="00714A42"/>
    <w:rsid w:val="00727093"/>
    <w:rsid w:val="00730300"/>
    <w:rsid w:val="00761962"/>
    <w:rsid w:val="00762413"/>
    <w:rsid w:val="00766E84"/>
    <w:rsid w:val="007D77CE"/>
    <w:rsid w:val="007E2AFC"/>
    <w:rsid w:val="007F6CB3"/>
    <w:rsid w:val="00811064"/>
    <w:rsid w:val="0081413B"/>
    <w:rsid w:val="00821495"/>
    <w:rsid w:val="008215AC"/>
    <w:rsid w:val="00870855"/>
    <w:rsid w:val="008979F1"/>
    <w:rsid w:val="008A633D"/>
    <w:rsid w:val="008A790C"/>
    <w:rsid w:val="008B7124"/>
    <w:rsid w:val="008D6C08"/>
    <w:rsid w:val="008E045E"/>
    <w:rsid w:val="00904C12"/>
    <w:rsid w:val="00914A66"/>
    <w:rsid w:val="00924DA1"/>
    <w:rsid w:val="009305DC"/>
    <w:rsid w:val="0094727E"/>
    <w:rsid w:val="0099648A"/>
    <w:rsid w:val="009A5131"/>
    <w:rsid w:val="009B5D3C"/>
    <w:rsid w:val="009C10C5"/>
    <w:rsid w:val="009D0094"/>
    <w:rsid w:val="009D4B62"/>
    <w:rsid w:val="009F47F5"/>
    <w:rsid w:val="00A036DE"/>
    <w:rsid w:val="00A245C0"/>
    <w:rsid w:val="00A60D2D"/>
    <w:rsid w:val="00A813CF"/>
    <w:rsid w:val="00AF2582"/>
    <w:rsid w:val="00AF4DC9"/>
    <w:rsid w:val="00B02586"/>
    <w:rsid w:val="00B23725"/>
    <w:rsid w:val="00B43E23"/>
    <w:rsid w:val="00B51546"/>
    <w:rsid w:val="00B57C3B"/>
    <w:rsid w:val="00B60EF6"/>
    <w:rsid w:val="00B67E38"/>
    <w:rsid w:val="00B818D7"/>
    <w:rsid w:val="00BC15E2"/>
    <w:rsid w:val="00BC7B1C"/>
    <w:rsid w:val="00BD4027"/>
    <w:rsid w:val="00C30707"/>
    <w:rsid w:val="00C63149"/>
    <w:rsid w:val="00C635C9"/>
    <w:rsid w:val="00C73A39"/>
    <w:rsid w:val="00C90CCB"/>
    <w:rsid w:val="00C95D06"/>
    <w:rsid w:val="00C96CF4"/>
    <w:rsid w:val="00CA5F99"/>
    <w:rsid w:val="00CD0104"/>
    <w:rsid w:val="00CD2B1F"/>
    <w:rsid w:val="00CD7E59"/>
    <w:rsid w:val="00CE2164"/>
    <w:rsid w:val="00CE48A0"/>
    <w:rsid w:val="00D04433"/>
    <w:rsid w:val="00D06043"/>
    <w:rsid w:val="00D16339"/>
    <w:rsid w:val="00D612F9"/>
    <w:rsid w:val="00DC1643"/>
    <w:rsid w:val="00DD537D"/>
    <w:rsid w:val="00DD6997"/>
    <w:rsid w:val="00DD6EB4"/>
    <w:rsid w:val="00E13AB4"/>
    <w:rsid w:val="00E244FC"/>
    <w:rsid w:val="00E3015F"/>
    <w:rsid w:val="00E56D54"/>
    <w:rsid w:val="00E7753F"/>
    <w:rsid w:val="00EA15CB"/>
    <w:rsid w:val="00ED0048"/>
    <w:rsid w:val="00ED551D"/>
    <w:rsid w:val="00EF46EF"/>
    <w:rsid w:val="00F1408A"/>
    <w:rsid w:val="00F4588F"/>
    <w:rsid w:val="00F46E20"/>
    <w:rsid w:val="00F50D77"/>
    <w:rsid w:val="00F53641"/>
    <w:rsid w:val="00FC27C9"/>
    <w:rsid w:val="00FF0E95"/>
    <w:rsid w:val="00FF73DE"/>
    <w:rsid w:val="010E4B5B"/>
    <w:rsid w:val="01285EB0"/>
    <w:rsid w:val="015D0D5E"/>
    <w:rsid w:val="02AF769C"/>
    <w:rsid w:val="02B0310F"/>
    <w:rsid w:val="08767092"/>
    <w:rsid w:val="08DD5582"/>
    <w:rsid w:val="096C5CBA"/>
    <w:rsid w:val="0A3367C8"/>
    <w:rsid w:val="0A692F6B"/>
    <w:rsid w:val="0AA2484F"/>
    <w:rsid w:val="0AE406CE"/>
    <w:rsid w:val="0B5A4560"/>
    <w:rsid w:val="0D600EE6"/>
    <w:rsid w:val="10663083"/>
    <w:rsid w:val="1136675B"/>
    <w:rsid w:val="118045F5"/>
    <w:rsid w:val="11A67B37"/>
    <w:rsid w:val="125515DD"/>
    <w:rsid w:val="12D20E80"/>
    <w:rsid w:val="13044135"/>
    <w:rsid w:val="137B2AD9"/>
    <w:rsid w:val="14E22D08"/>
    <w:rsid w:val="15CA382D"/>
    <w:rsid w:val="17773DA4"/>
    <w:rsid w:val="17F90A80"/>
    <w:rsid w:val="19005CFF"/>
    <w:rsid w:val="19B7718A"/>
    <w:rsid w:val="1BD9502D"/>
    <w:rsid w:val="1BF9122C"/>
    <w:rsid w:val="1C3B5CE8"/>
    <w:rsid w:val="1C9C6787"/>
    <w:rsid w:val="1E596B8B"/>
    <w:rsid w:val="1F666BD8"/>
    <w:rsid w:val="212540A0"/>
    <w:rsid w:val="231C5A44"/>
    <w:rsid w:val="238735C1"/>
    <w:rsid w:val="24E324F6"/>
    <w:rsid w:val="256A3368"/>
    <w:rsid w:val="25DD396C"/>
    <w:rsid w:val="26DE799C"/>
    <w:rsid w:val="27F12818"/>
    <w:rsid w:val="280D4336"/>
    <w:rsid w:val="29CA2459"/>
    <w:rsid w:val="2A1B4A63"/>
    <w:rsid w:val="2B572DCE"/>
    <w:rsid w:val="2C71624B"/>
    <w:rsid w:val="2D0F6B01"/>
    <w:rsid w:val="2D202ABC"/>
    <w:rsid w:val="2D302078"/>
    <w:rsid w:val="2DC74B30"/>
    <w:rsid w:val="31C3541E"/>
    <w:rsid w:val="33A15FD9"/>
    <w:rsid w:val="344D0E2B"/>
    <w:rsid w:val="362916B9"/>
    <w:rsid w:val="363B1DFF"/>
    <w:rsid w:val="363D4435"/>
    <w:rsid w:val="381A223B"/>
    <w:rsid w:val="3A2F07E2"/>
    <w:rsid w:val="3BC60E19"/>
    <w:rsid w:val="3D3E2627"/>
    <w:rsid w:val="3E0D3F8D"/>
    <w:rsid w:val="3E962B96"/>
    <w:rsid w:val="3EE84E3D"/>
    <w:rsid w:val="3F942E96"/>
    <w:rsid w:val="3FD00D30"/>
    <w:rsid w:val="40786313"/>
    <w:rsid w:val="40861D0A"/>
    <w:rsid w:val="430F0CAE"/>
    <w:rsid w:val="431F6225"/>
    <w:rsid w:val="44511355"/>
    <w:rsid w:val="45083535"/>
    <w:rsid w:val="47B57E4D"/>
    <w:rsid w:val="47D81651"/>
    <w:rsid w:val="487806ED"/>
    <w:rsid w:val="4A01737A"/>
    <w:rsid w:val="4BFC24EE"/>
    <w:rsid w:val="4DC033F0"/>
    <w:rsid w:val="4E7E2FA7"/>
    <w:rsid w:val="4EE5726A"/>
    <w:rsid w:val="4FD31F0A"/>
    <w:rsid w:val="501E2A33"/>
    <w:rsid w:val="509513C3"/>
    <w:rsid w:val="52611A9F"/>
    <w:rsid w:val="533B1B4E"/>
    <w:rsid w:val="54BE2A37"/>
    <w:rsid w:val="56634A8E"/>
    <w:rsid w:val="56F664B8"/>
    <w:rsid w:val="5798756F"/>
    <w:rsid w:val="583F5C3D"/>
    <w:rsid w:val="5A415A16"/>
    <w:rsid w:val="5A8913F1"/>
    <w:rsid w:val="5CDF179C"/>
    <w:rsid w:val="5E232808"/>
    <w:rsid w:val="5EF77271"/>
    <w:rsid w:val="5F3A4645"/>
    <w:rsid w:val="601B3DF0"/>
    <w:rsid w:val="602A0F80"/>
    <w:rsid w:val="6062696C"/>
    <w:rsid w:val="620D2322"/>
    <w:rsid w:val="62D14A6A"/>
    <w:rsid w:val="653B20E1"/>
    <w:rsid w:val="66083E69"/>
    <w:rsid w:val="670A092A"/>
    <w:rsid w:val="687E65D2"/>
    <w:rsid w:val="68EC74E0"/>
    <w:rsid w:val="695452C0"/>
    <w:rsid w:val="6C0976F0"/>
    <w:rsid w:val="6CED2BB2"/>
    <w:rsid w:val="6D31295C"/>
    <w:rsid w:val="6DA2484C"/>
    <w:rsid w:val="6E337067"/>
    <w:rsid w:val="706E7723"/>
    <w:rsid w:val="71D04167"/>
    <w:rsid w:val="72276524"/>
    <w:rsid w:val="738F5A61"/>
    <w:rsid w:val="73DC213A"/>
    <w:rsid w:val="73F85011"/>
    <w:rsid w:val="74176E2C"/>
    <w:rsid w:val="74F3598D"/>
    <w:rsid w:val="753D4E5A"/>
    <w:rsid w:val="773F2375"/>
    <w:rsid w:val="78EC1071"/>
    <w:rsid w:val="798F7999"/>
    <w:rsid w:val="7A83317D"/>
    <w:rsid w:val="7B47340A"/>
    <w:rsid w:val="7B5573A2"/>
    <w:rsid w:val="7C5B17B9"/>
    <w:rsid w:val="7C89781D"/>
    <w:rsid w:val="7C8C01AA"/>
    <w:rsid w:val="7D477145"/>
    <w:rsid w:val="7DBC7468"/>
    <w:rsid w:val="7DFA2625"/>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firstLine="452" w:firstLineChars="176"/>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link w:val="22"/>
    <w:qFormat/>
    <w:uiPriority w:val="0"/>
    <w:pPr>
      <w:shd w:val="solid" w:color="FFFFFF" w:fill="FFFFFF"/>
      <w:jc w:val="center"/>
    </w:pPr>
    <w:rPr>
      <w:rFonts w:ascii="宋体" w:hAnsi="宋体" w:eastAsia="宋体" w:cs="Times New Roman"/>
      <w:kern w:val="0"/>
      <w:sz w:val="84"/>
      <w:szCs w:val="72"/>
    </w:rPr>
  </w:style>
  <w:style w:type="paragraph" w:styleId="4">
    <w:name w:val="Date"/>
    <w:basedOn w:val="1"/>
    <w:next w:val="1"/>
    <w:link w:val="16"/>
    <w:qFormat/>
    <w:uiPriority w:val="0"/>
    <w:rPr>
      <w:rFonts w:ascii="Times New Roman" w:hAnsi="Times New Roman" w:eastAsia="宋体" w:cs="Times New Roman"/>
      <w:sz w:val="24"/>
      <w:szCs w:val="20"/>
    </w:rPr>
  </w:style>
  <w:style w:type="paragraph" w:styleId="5">
    <w:name w:val="Body Text Indent 2"/>
    <w:basedOn w:val="1"/>
    <w:unhideWhenUsed/>
    <w:qFormat/>
    <w:uiPriority w:val="99"/>
    <w:pPr>
      <w:spacing w:after="120" w:line="480" w:lineRule="auto"/>
      <w:ind w:left="420" w:leftChars="200"/>
    </w:pPr>
  </w:style>
  <w:style w:type="paragraph" w:styleId="6">
    <w:name w:val="Balloon Text"/>
    <w:basedOn w:val="1"/>
    <w:link w:val="21"/>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qFormat/>
    <w:uiPriority w:val="11"/>
    <w:pPr>
      <w:spacing w:before="240" w:after="60" w:line="312" w:lineRule="auto"/>
      <w:jc w:val="left"/>
      <w:outlineLvl w:val="1"/>
    </w:pPr>
    <w:rPr>
      <w:rFonts w:ascii="Cambria" w:hAnsi="Cambria"/>
      <w:b/>
      <w:bCs/>
      <w:kern w:val="28"/>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日期 字符"/>
    <w:basedOn w:val="12"/>
    <w:link w:val="4"/>
    <w:qFormat/>
    <w:uiPriority w:val="0"/>
    <w:rPr>
      <w:rFonts w:ascii="Times New Roman" w:hAnsi="Times New Roman" w:eastAsia="宋体" w:cs="Times New Roman"/>
      <w:sz w:val="24"/>
      <w:szCs w:val="20"/>
    </w:rPr>
  </w:style>
  <w:style w:type="paragraph" w:customStyle="1" w:styleId="17">
    <w:name w:val="标准正文"/>
    <w:basedOn w:val="1"/>
    <w:qFormat/>
    <w:uiPriority w:val="0"/>
    <w:pPr>
      <w:tabs>
        <w:tab w:val="left" w:pos="900"/>
        <w:tab w:val="left" w:pos="1620"/>
      </w:tabs>
      <w:spacing w:line="300" w:lineRule="auto"/>
      <w:ind w:firstLine="538"/>
    </w:pPr>
    <w:rPr>
      <w:rFonts w:ascii="仿宋_GB2312" w:hAnsi="宋体" w:eastAsia="仿宋_GB2312" w:cs="Times New Roman"/>
      <w:kern w:val="0"/>
      <w:sz w:val="24"/>
      <w:szCs w:val="20"/>
    </w:rPr>
  </w:style>
  <w:style w:type="paragraph" w:styleId="18">
    <w:name w:val="List Paragraph"/>
    <w:basedOn w:val="1"/>
    <w:qFormat/>
    <w:uiPriority w:val="0"/>
    <w:pPr>
      <w:ind w:firstLine="420" w:firstLineChars="200"/>
    </w:pPr>
    <w:rPr>
      <w:rFonts w:ascii="Times New Roman" w:hAnsi="Times New Roman" w:eastAsia="宋体" w:cs="Times New Roman"/>
      <w:szCs w:val="24"/>
    </w:rPr>
  </w:style>
  <w:style w:type="paragraph" w:customStyle="1" w:styleId="19">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character" w:customStyle="1" w:styleId="20">
    <w:name w:val="NormalCharacter"/>
    <w:semiHidden/>
    <w:qFormat/>
    <w:uiPriority w:val="0"/>
  </w:style>
  <w:style w:type="character" w:customStyle="1" w:styleId="21">
    <w:name w:val="批注框文本 字符"/>
    <w:basedOn w:val="12"/>
    <w:link w:val="6"/>
    <w:semiHidden/>
    <w:qFormat/>
    <w:uiPriority w:val="99"/>
    <w:rPr>
      <w:sz w:val="18"/>
      <w:szCs w:val="18"/>
    </w:rPr>
  </w:style>
  <w:style w:type="character" w:customStyle="1" w:styleId="22">
    <w:name w:val="纯文本 字符"/>
    <w:basedOn w:val="12"/>
    <w:link w:val="3"/>
    <w:qFormat/>
    <w:uiPriority w:val="0"/>
    <w:rPr>
      <w:rFonts w:ascii="宋体" w:hAnsi="宋体" w:eastAsia="宋体" w:cs="Times New Roman"/>
      <w:kern w:val="0"/>
      <w:sz w:val="84"/>
      <w:szCs w:val="72"/>
      <w:shd w:val="solid" w:color="FFFFFF" w:fill="FFFFFF"/>
    </w:rPr>
  </w:style>
  <w:style w:type="paragraph" w:customStyle="1" w:styleId="23">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15</Pages>
  <Words>7470</Words>
  <Characters>7859</Characters>
  <Lines>60</Lines>
  <Paragraphs>16</Paragraphs>
  <TotalTime>2</TotalTime>
  <ScaleCrop>false</ScaleCrop>
  <LinksUpToDate>false</LinksUpToDate>
  <CharactersWithSpaces>8093</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2026-08-22T08:14:00Z</dcterms:created>
  <dc:creator>段彦兴</dc:creator>
  <cp:lastModifiedBy>Administrator</cp:lastModifiedBy>
  <dcterms:modified xsi:type="dcterms:W3CDTF">2026-08-27T03:17:44Z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902D83B2CBAA4AC0984F005F480338D5_13</vt:lpwstr>
  </property>
  <property fmtid="{D5CDD505-2E9C-101B-9397-08002B2CF9AE}" pid="4" name="KSOTemplateDocerSaveRecord">
    <vt:lpwstr>eyJoZGlkIjoiNmM1N2IwNjFkYWRkODI0ZDU4YTRkZmUzOGJhYzdmYTgiLCJ1c2VySWQiOiIzMTQwOTY2MzAifQ==</vt:lpwstr>
  </property>
</Properties>
</file>