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868"/>
      <w:bookmarkStart w:id="2" w:name="_Toc1304"/>
      <w:bookmarkStart w:id="3" w:name="_Toc76373863"/>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15376"/>
      <w:bookmarkStart w:id="9" w:name="_Toc22435"/>
      <w:bookmarkStart w:id="10" w:name="_Toc76373864"/>
      <w:bookmarkStart w:id="11" w:name="_Toc282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3E1906FE">
      <w:pPr>
        <w:widowControl/>
        <w:spacing w:line="400" w:lineRule="exact"/>
        <w:ind w:firstLine="480" w:firstLineChars="200"/>
        <w:rPr>
          <w:rFonts w:hint="eastAsia" w:ascii="宋体" w:hAnsi="宋体" w:eastAsia="宋体" w:cs="宋体"/>
          <w:i w:val="0"/>
          <w:iCs w:val="0"/>
          <w:caps w:val="0"/>
          <w:color w:val="0F1115"/>
          <w:spacing w:val="0"/>
          <w:kern w:val="0"/>
          <w:sz w:val="22"/>
          <w:szCs w:val="22"/>
          <w:highlight w:val="none"/>
          <w:lang w:val="en-US" w:eastAsia="zh-CN" w:bidi="ar"/>
        </w:rPr>
      </w:pPr>
      <w:bookmarkStart w:id="192" w:name="_GoBack"/>
      <w:r>
        <w:rPr>
          <w:rFonts w:hint="eastAsia" w:ascii="宋体" w:hAnsi="宋体" w:cs="宋体"/>
          <w:color w:val="auto"/>
          <w:sz w:val="24"/>
          <w:szCs w:val="24"/>
        </w:rPr>
        <w:t>项目名称：</w:t>
      </w:r>
      <w:r>
        <w:rPr>
          <w:rFonts w:hint="eastAsia" w:ascii="宋体" w:hAnsi="宋体" w:eastAsia="宋体" w:cs="宋体"/>
          <w:b w:val="0"/>
          <w:bCs w:val="0"/>
          <w:color w:val="auto"/>
          <w:sz w:val="22"/>
          <w:szCs w:val="22"/>
          <w:vertAlign w:val="baseline"/>
          <w:lang w:val="en-US" w:eastAsia="zh-CN"/>
        </w:rPr>
        <w:t>血栓弹力图试验(活化凝血)试剂盒</w:t>
      </w:r>
      <w:r>
        <w:rPr>
          <w:rFonts w:hint="eastAsia" w:ascii="宋体" w:hAnsi="宋体" w:cs="宋体"/>
          <w:b w:val="0"/>
          <w:bCs w:val="0"/>
          <w:color w:val="auto"/>
          <w:sz w:val="22"/>
          <w:szCs w:val="22"/>
          <w:vertAlign w:val="baseline"/>
          <w:lang w:val="en-US" w:eastAsia="zh-CN"/>
        </w:rPr>
        <w:t>、肝素检测试剂盒、</w:t>
      </w:r>
      <w:r>
        <w:rPr>
          <w:rFonts w:hint="eastAsia" w:ascii="宋体" w:hAnsi="宋体" w:eastAsia="宋体" w:cs="宋体"/>
          <w:i w:val="0"/>
          <w:iCs w:val="0"/>
          <w:caps w:val="0"/>
          <w:color w:val="0F1115"/>
          <w:spacing w:val="0"/>
          <w:kern w:val="0"/>
          <w:sz w:val="22"/>
          <w:szCs w:val="22"/>
          <w:highlight w:val="none"/>
          <w:lang w:val="en-US" w:eastAsia="zh-CN" w:bidi="ar"/>
        </w:rPr>
        <w:t>凝血激活检测试剂盒</w:t>
      </w:r>
      <w:r>
        <w:rPr>
          <w:rFonts w:hint="eastAsia" w:ascii="宋体" w:hAnsi="宋体" w:cs="宋体"/>
          <w:i w:val="0"/>
          <w:iCs w:val="0"/>
          <w:caps w:val="0"/>
          <w:color w:val="0F1115"/>
          <w:spacing w:val="0"/>
          <w:kern w:val="0"/>
          <w:sz w:val="22"/>
          <w:szCs w:val="22"/>
          <w:highlight w:val="none"/>
          <w:lang w:val="en-US" w:eastAsia="zh-CN" w:bidi="ar"/>
        </w:rPr>
        <w:t>、</w:t>
      </w:r>
      <w:r>
        <w:rPr>
          <w:rFonts w:hint="eastAsia" w:ascii="宋体" w:hAnsi="宋体" w:eastAsia="宋体" w:cs="宋体"/>
          <w:i w:val="0"/>
          <w:iCs w:val="0"/>
          <w:caps w:val="0"/>
          <w:color w:val="0F1115"/>
          <w:spacing w:val="0"/>
          <w:kern w:val="0"/>
          <w:sz w:val="22"/>
          <w:szCs w:val="22"/>
          <w:highlight w:val="none"/>
          <w:lang w:val="en-US" w:eastAsia="zh-CN" w:bidi="ar"/>
        </w:rPr>
        <w:t>血栓弹力图试验试剂盒(血小板-AA及ADP试剂)</w:t>
      </w:r>
      <w:r>
        <w:rPr>
          <w:rFonts w:hint="eastAsia" w:ascii="宋体" w:hAnsi="宋体" w:cs="宋体"/>
          <w:i w:val="0"/>
          <w:iCs w:val="0"/>
          <w:caps w:val="0"/>
          <w:color w:val="0F1115"/>
          <w:spacing w:val="0"/>
          <w:kern w:val="0"/>
          <w:sz w:val="22"/>
          <w:szCs w:val="22"/>
          <w:highlight w:val="none"/>
          <w:lang w:val="en-US" w:eastAsia="zh-CN" w:bidi="ar"/>
        </w:rPr>
        <w:t>及其配套设备；</w:t>
      </w:r>
      <w:r>
        <w:rPr>
          <w:rFonts w:hint="eastAsia" w:ascii="宋体" w:hAnsi="宋体" w:eastAsia="宋体" w:cs="宋体"/>
          <w:i w:val="0"/>
          <w:iCs w:val="0"/>
          <w:caps w:val="0"/>
          <w:color w:val="0F1115"/>
          <w:spacing w:val="0"/>
          <w:kern w:val="0"/>
          <w:sz w:val="22"/>
          <w:szCs w:val="22"/>
          <w:highlight w:val="none"/>
          <w:lang w:val="en-US" w:eastAsia="zh-CN" w:bidi="ar"/>
        </w:rPr>
        <w:t>一次性使用塑料血袋</w:t>
      </w:r>
      <w:r>
        <w:rPr>
          <w:rFonts w:hint="eastAsia" w:ascii="宋体" w:hAnsi="宋体" w:cs="宋体"/>
          <w:i w:val="0"/>
          <w:iCs w:val="0"/>
          <w:caps w:val="0"/>
          <w:color w:val="0F1115"/>
          <w:spacing w:val="0"/>
          <w:kern w:val="0"/>
          <w:sz w:val="22"/>
          <w:szCs w:val="22"/>
          <w:highlight w:val="none"/>
          <w:lang w:val="en-US" w:eastAsia="zh-CN" w:bidi="ar"/>
        </w:rPr>
        <w:t>；</w:t>
      </w:r>
      <w:r>
        <w:rPr>
          <w:rFonts w:hint="eastAsia" w:ascii="宋体" w:hAnsi="宋体" w:eastAsia="宋体" w:cs="宋体"/>
          <w:i w:val="0"/>
          <w:iCs w:val="0"/>
          <w:caps w:val="0"/>
          <w:color w:val="0F1115"/>
          <w:spacing w:val="0"/>
          <w:kern w:val="0"/>
          <w:sz w:val="22"/>
          <w:szCs w:val="22"/>
          <w:highlight w:val="none"/>
          <w:lang w:val="en-US" w:eastAsia="zh-CN" w:bidi="ar"/>
        </w:rPr>
        <w:t>血小板抗体检测试剂盒（固相凝集法）</w:t>
      </w:r>
      <w:r>
        <w:rPr>
          <w:rFonts w:hint="eastAsia" w:ascii="宋体" w:hAnsi="宋体" w:cs="宋体"/>
          <w:i w:val="0"/>
          <w:iCs w:val="0"/>
          <w:caps w:val="0"/>
          <w:color w:val="0F1115"/>
          <w:spacing w:val="0"/>
          <w:kern w:val="0"/>
          <w:sz w:val="22"/>
          <w:szCs w:val="22"/>
          <w:highlight w:val="none"/>
          <w:lang w:val="en-US" w:eastAsia="zh-CN" w:bidi="ar"/>
        </w:rPr>
        <w:t>及其配套设备</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22129"/>
            <w:bookmarkStart w:id="16" w:name="_Toc22707"/>
            <w:bookmarkStart w:id="17" w:name="_Toc5838"/>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4913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5365E52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4D436421">
            <w:pPr>
              <w:keepNext w:val="0"/>
              <w:keepLines w:val="0"/>
              <w:widowControl/>
              <w:suppressLineNumbers w:val="0"/>
              <w:jc w:val="center"/>
              <w:textAlignment w:val="center"/>
              <w:rPr>
                <w:rFonts w:hint="default" w:ascii="宋体" w:hAnsi="宋体" w:cs="宋体"/>
                <w:color w:val="auto"/>
                <w:kern w:val="2"/>
                <w:sz w:val="24"/>
                <w:szCs w:val="24"/>
                <w:lang w:val="en-US" w:eastAsia="zh-CN" w:bidi="ar-SA"/>
              </w:rPr>
            </w:pPr>
            <w:r>
              <w:rPr>
                <w:rFonts w:hint="eastAsia" w:ascii="宋体" w:hAnsi="宋体" w:eastAsia="宋体" w:cs="宋体"/>
                <w:b w:val="0"/>
                <w:bCs w:val="0"/>
                <w:color w:val="auto"/>
                <w:sz w:val="22"/>
                <w:szCs w:val="22"/>
                <w:vertAlign w:val="baseline"/>
                <w:lang w:val="en-US" w:eastAsia="zh-CN"/>
              </w:rPr>
              <w:t>血栓弹力图试验(活化凝血)试剂盒</w:t>
            </w:r>
          </w:p>
        </w:tc>
        <w:tc>
          <w:tcPr>
            <w:tcW w:w="1485" w:type="dxa"/>
            <w:vMerge w:val="restart"/>
            <w:shd w:val="clear" w:color="auto" w:fill="auto"/>
            <w:noWrap w:val="0"/>
            <w:vAlign w:val="center"/>
          </w:tcPr>
          <w:p w14:paraId="4E89B39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shd w:val="clear" w:color="auto" w:fill="auto"/>
            <w:noWrap w:val="0"/>
            <w:vAlign w:val="center"/>
          </w:tcPr>
          <w:p w14:paraId="171133C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vMerge w:val="restart"/>
            <w:shd w:val="clear" w:color="auto" w:fill="auto"/>
            <w:noWrap w:val="0"/>
            <w:vAlign w:val="center"/>
          </w:tcPr>
          <w:p w14:paraId="564BDA5D">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输血科</w:t>
            </w:r>
          </w:p>
        </w:tc>
      </w:tr>
      <w:tr w14:paraId="7B34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tcBorders/>
            <w:noWrap w:val="0"/>
            <w:vAlign w:val="center"/>
          </w:tcPr>
          <w:p w14:paraId="74C5AFEE">
            <w:pPr>
              <w:widowControl/>
              <w:spacing w:line="400" w:lineRule="exact"/>
              <w:jc w:val="center"/>
              <w:rPr>
                <w:rFonts w:hint="default" w:ascii="宋体" w:hAnsi="宋体" w:cs="宋体"/>
                <w:color w:val="auto"/>
                <w:sz w:val="24"/>
                <w:szCs w:val="24"/>
                <w:lang w:val="en-US" w:eastAsia="zh-CN"/>
              </w:rPr>
            </w:pPr>
          </w:p>
        </w:tc>
        <w:tc>
          <w:tcPr>
            <w:tcW w:w="2298" w:type="dxa"/>
            <w:shd w:val="clear" w:color="auto" w:fill="auto"/>
            <w:noWrap w:val="0"/>
            <w:vAlign w:val="center"/>
          </w:tcPr>
          <w:p w14:paraId="1D83F66D">
            <w:pPr>
              <w:keepNext w:val="0"/>
              <w:keepLines w:val="0"/>
              <w:widowControl/>
              <w:suppressLineNumbers w:val="0"/>
              <w:spacing w:line="375" w:lineRule="atLeast"/>
              <w:jc w:val="center"/>
              <w:rPr>
                <w:rFonts w:hint="eastAsia" w:ascii="宋体" w:hAnsi="宋体" w:cs="宋体"/>
                <w:color w:val="auto"/>
                <w:kern w:val="2"/>
                <w:sz w:val="24"/>
                <w:szCs w:val="24"/>
                <w:lang w:val="en-US" w:eastAsia="zh-CN" w:bidi="ar-SA"/>
              </w:rPr>
            </w:pPr>
            <w:r>
              <w:rPr>
                <w:rFonts w:hint="eastAsia" w:ascii="宋体" w:hAnsi="宋体" w:eastAsia="宋体" w:cs="宋体"/>
                <w:i w:val="0"/>
                <w:iCs w:val="0"/>
                <w:caps w:val="0"/>
                <w:color w:val="0F1115"/>
                <w:spacing w:val="0"/>
                <w:kern w:val="0"/>
                <w:sz w:val="22"/>
                <w:szCs w:val="22"/>
                <w:highlight w:val="none"/>
                <w:lang w:val="en-US" w:eastAsia="zh-CN" w:bidi="ar"/>
              </w:rPr>
              <w:t>肝素检测试剂盒</w:t>
            </w:r>
          </w:p>
        </w:tc>
        <w:tc>
          <w:tcPr>
            <w:tcW w:w="1485" w:type="dxa"/>
            <w:vMerge w:val="continue"/>
            <w:tcBorders/>
            <w:shd w:val="clear" w:color="auto" w:fill="auto"/>
            <w:noWrap w:val="0"/>
            <w:vAlign w:val="center"/>
          </w:tcPr>
          <w:p w14:paraId="2A3879FD">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shd w:val="clear" w:color="auto" w:fill="auto"/>
            <w:noWrap w:val="0"/>
            <w:vAlign w:val="center"/>
          </w:tcPr>
          <w:p w14:paraId="435F66B4">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shd w:val="clear" w:color="auto" w:fill="auto"/>
            <w:noWrap w:val="0"/>
            <w:vAlign w:val="center"/>
          </w:tcPr>
          <w:p w14:paraId="7F0885E0">
            <w:pPr>
              <w:keepNext w:val="0"/>
              <w:keepLines w:val="0"/>
              <w:widowControl/>
              <w:suppressLineNumbers w:val="0"/>
              <w:jc w:val="center"/>
              <w:textAlignment w:val="center"/>
              <w:rPr>
                <w:rFonts w:hint="default" w:ascii="宋体" w:hAnsi="宋体" w:cs="宋体"/>
                <w:color w:val="auto"/>
                <w:sz w:val="24"/>
                <w:szCs w:val="24"/>
                <w:lang w:val="en-US" w:eastAsia="zh-CN"/>
              </w:rPr>
            </w:pPr>
          </w:p>
        </w:tc>
      </w:tr>
      <w:tr w14:paraId="6E96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tcBorders/>
            <w:noWrap w:val="0"/>
            <w:vAlign w:val="center"/>
          </w:tcPr>
          <w:p w14:paraId="60A5CBE0">
            <w:pPr>
              <w:widowControl/>
              <w:spacing w:line="400" w:lineRule="exact"/>
              <w:jc w:val="center"/>
              <w:rPr>
                <w:rFonts w:hint="default" w:ascii="宋体" w:hAnsi="宋体" w:cs="宋体"/>
                <w:color w:val="auto"/>
                <w:sz w:val="24"/>
                <w:szCs w:val="24"/>
                <w:lang w:val="en-US" w:eastAsia="zh-CN"/>
              </w:rPr>
            </w:pPr>
          </w:p>
        </w:tc>
        <w:tc>
          <w:tcPr>
            <w:tcW w:w="2298" w:type="dxa"/>
            <w:shd w:val="clear" w:color="auto" w:fill="auto"/>
            <w:noWrap w:val="0"/>
            <w:vAlign w:val="center"/>
          </w:tcPr>
          <w:p w14:paraId="193BB3D0">
            <w:pPr>
              <w:keepNext w:val="0"/>
              <w:keepLines w:val="0"/>
              <w:widowControl/>
              <w:suppressLineNumbers w:val="0"/>
              <w:spacing w:line="375" w:lineRule="atLeast"/>
              <w:jc w:val="center"/>
              <w:rPr>
                <w:rFonts w:hint="eastAsia" w:ascii="宋体" w:hAnsi="宋体" w:eastAsia="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凝血激活检测试剂盒</w:t>
            </w:r>
          </w:p>
        </w:tc>
        <w:tc>
          <w:tcPr>
            <w:tcW w:w="1485" w:type="dxa"/>
            <w:vMerge w:val="continue"/>
            <w:tcBorders/>
            <w:shd w:val="clear" w:color="auto" w:fill="auto"/>
            <w:noWrap w:val="0"/>
            <w:vAlign w:val="center"/>
          </w:tcPr>
          <w:p w14:paraId="2149DA59">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shd w:val="clear" w:color="auto" w:fill="auto"/>
            <w:noWrap w:val="0"/>
            <w:vAlign w:val="center"/>
          </w:tcPr>
          <w:p w14:paraId="1F3EFF82">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shd w:val="clear" w:color="auto" w:fill="auto"/>
            <w:noWrap w:val="0"/>
            <w:vAlign w:val="center"/>
          </w:tcPr>
          <w:p w14:paraId="5AFC9387">
            <w:pPr>
              <w:keepNext w:val="0"/>
              <w:keepLines w:val="0"/>
              <w:widowControl/>
              <w:suppressLineNumbers w:val="0"/>
              <w:jc w:val="center"/>
              <w:textAlignment w:val="center"/>
              <w:rPr>
                <w:rFonts w:hint="eastAsia" w:ascii="宋体" w:hAnsi="宋体" w:cs="宋体"/>
                <w:color w:val="auto"/>
                <w:sz w:val="24"/>
                <w:szCs w:val="24"/>
                <w:lang w:val="en-US" w:eastAsia="zh-CN"/>
              </w:rPr>
            </w:pPr>
          </w:p>
        </w:tc>
      </w:tr>
      <w:tr w14:paraId="5D5B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tcBorders/>
            <w:noWrap w:val="0"/>
            <w:vAlign w:val="center"/>
          </w:tcPr>
          <w:p w14:paraId="3EF183A2">
            <w:pPr>
              <w:widowControl/>
              <w:spacing w:line="400" w:lineRule="exact"/>
              <w:jc w:val="center"/>
              <w:rPr>
                <w:rFonts w:hint="default" w:ascii="宋体" w:hAnsi="宋体" w:cs="宋体"/>
                <w:color w:val="auto"/>
                <w:sz w:val="24"/>
                <w:szCs w:val="24"/>
                <w:lang w:val="en-US" w:eastAsia="zh-CN"/>
              </w:rPr>
            </w:pPr>
          </w:p>
        </w:tc>
        <w:tc>
          <w:tcPr>
            <w:tcW w:w="2298" w:type="dxa"/>
            <w:shd w:val="clear" w:color="auto" w:fill="auto"/>
            <w:noWrap w:val="0"/>
            <w:vAlign w:val="center"/>
          </w:tcPr>
          <w:p w14:paraId="33506EF1">
            <w:pPr>
              <w:keepNext w:val="0"/>
              <w:keepLines w:val="0"/>
              <w:widowControl/>
              <w:suppressLineNumbers w:val="0"/>
              <w:spacing w:line="375" w:lineRule="atLeast"/>
              <w:jc w:val="center"/>
              <w:rPr>
                <w:rFonts w:hint="default" w:ascii="宋体" w:hAnsi="宋体" w:eastAsia="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血栓弹力图试验试剂盒(血小板-AA及ADP试剂)</w:t>
            </w:r>
            <w:r>
              <w:rPr>
                <w:rFonts w:hint="eastAsia" w:ascii="宋体" w:hAnsi="宋体" w:cs="宋体"/>
                <w:i w:val="0"/>
                <w:iCs w:val="0"/>
                <w:caps w:val="0"/>
                <w:color w:val="0F1115"/>
                <w:spacing w:val="0"/>
                <w:kern w:val="0"/>
                <w:sz w:val="22"/>
                <w:szCs w:val="22"/>
                <w:highlight w:val="none"/>
                <w:lang w:val="en-US" w:eastAsia="zh-CN" w:bidi="ar"/>
              </w:rPr>
              <w:t>及其配套设备</w:t>
            </w:r>
          </w:p>
        </w:tc>
        <w:tc>
          <w:tcPr>
            <w:tcW w:w="1485" w:type="dxa"/>
            <w:vMerge w:val="continue"/>
            <w:tcBorders/>
            <w:shd w:val="clear" w:color="auto" w:fill="auto"/>
            <w:noWrap w:val="0"/>
            <w:vAlign w:val="center"/>
          </w:tcPr>
          <w:p w14:paraId="0BB90681">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shd w:val="clear" w:color="auto" w:fill="auto"/>
            <w:noWrap w:val="0"/>
            <w:vAlign w:val="center"/>
          </w:tcPr>
          <w:p w14:paraId="6353FA91">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tcBorders/>
            <w:shd w:val="clear" w:color="auto" w:fill="auto"/>
            <w:noWrap w:val="0"/>
            <w:vAlign w:val="center"/>
          </w:tcPr>
          <w:p w14:paraId="2C95B16B">
            <w:pPr>
              <w:keepNext w:val="0"/>
              <w:keepLines w:val="0"/>
              <w:widowControl/>
              <w:suppressLineNumbers w:val="0"/>
              <w:jc w:val="center"/>
              <w:textAlignment w:val="center"/>
              <w:rPr>
                <w:rFonts w:hint="eastAsia" w:ascii="宋体" w:hAnsi="宋体" w:cs="宋体"/>
                <w:color w:val="auto"/>
                <w:sz w:val="24"/>
                <w:szCs w:val="24"/>
                <w:lang w:val="en-US" w:eastAsia="zh-CN"/>
              </w:rPr>
            </w:pPr>
          </w:p>
        </w:tc>
      </w:tr>
      <w:tr w14:paraId="780A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0E9D775">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432482BF">
            <w:pPr>
              <w:keepNext w:val="0"/>
              <w:keepLines w:val="0"/>
              <w:widowControl/>
              <w:suppressLineNumbers w:val="0"/>
              <w:spacing w:line="375" w:lineRule="atLeast"/>
              <w:jc w:val="center"/>
              <w:rPr>
                <w:rFonts w:hint="eastAsia" w:ascii="宋体" w:hAnsi="宋体" w:eastAsia="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一次性使用塑料血袋</w:t>
            </w:r>
          </w:p>
        </w:tc>
        <w:tc>
          <w:tcPr>
            <w:tcW w:w="1485" w:type="dxa"/>
            <w:shd w:val="clear" w:color="auto" w:fill="auto"/>
            <w:noWrap w:val="0"/>
            <w:vAlign w:val="center"/>
          </w:tcPr>
          <w:p w14:paraId="06AA6693">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5507DFF0">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4461C7C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输血科</w:t>
            </w:r>
          </w:p>
        </w:tc>
      </w:tr>
      <w:tr w14:paraId="5AB9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F6907E9">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4EA704E2">
            <w:pPr>
              <w:keepNext w:val="0"/>
              <w:keepLines w:val="0"/>
              <w:widowControl/>
              <w:suppressLineNumbers w:val="0"/>
              <w:spacing w:line="375" w:lineRule="atLeast"/>
              <w:jc w:val="center"/>
              <w:rPr>
                <w:rFonts w:hint="eastAsia" w:ascii="宋体" w:hAnsi="宋体" w:eastAsia="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血小板抗体检测试剂盒（固相凝集法）</w:t>
            </w:r>
            <w:r>
              <w:rPr>
                <w:rFonts w:hint="eastAsia" w:ascii="宋体" w:hAnsi="宋体" w:cs="宋体"/>
                <w:i w:val="0"/>
                <w:iCs w:val="0"/>
                <w:caps w:val="0"/>
                <w:color w:val="0F1115"/>
                <w:spacing w:val="0"/>
                <w:kern w:val="0"/>
                <w:sz w:val="22"/>
                <w:szCs w:val="22"/>
                <w:highlight w:val="none"/>
                <w:lang w:val="en-US" w:eastAsia="zh-CN" w:bidi="ar"/>
              </w:rPr>
              <w:t>及其配套设备</w:t>
            </w:r>
          </w:p>
        </w:tc>
        <w:tc>
          <w:tcPr>
            <w:tcW w:w="1485" w:type="dxa"/>
            <w:shd w:val="clear" w:color="auto" w:fill="auto"/>
            <w:noWrap w:val="0"/>
            <w:vAlign w:val="center"/>
          </w:tcPr>
          <w:p w14:paraId="5A4F5AC1">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74C98A1E">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75C1CD2B">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输血科</w:t>
            </w:r>
          </w:p>
        </w:tc>
      </w:tr>
    </w:tbl>
    <w:p w14:paraId="3827FA9C">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5C3EEB7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FA3CD18">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包一期限五年，其余三年</w:t>
      </w:r>
    </w:p>
    <w:p w14:paraId="07DD8D5C">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376C3B1E">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4BBE5287">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bookmarkEnd w:id="192"/>
    </w:p>
    <w:bookmarkEnd w:id="14"/>
    <w:bookmarkEnd w:id="15"/>
    <w:bookmarkEnd w:id="16"/>
    <w:bookmarkEnd w:id="17"/>
    <w:bookmarkEnd w:id="18"/>
    <w:p w14:paraId="67FFECAF">
      <w:pPr>
        <w:pStyle w:val="22"/>
        <w:rPr>
          <w:rFonts w:hint="eastAsia"/>
          <w:color w:val="auto"/>
        </w:rPr>
      </w:pPr>
      <w:bookmarkStart w:id="19" w:name="_Toc3434"/>
      <w:bookmarkStart w:id="20" w:name="_Toc10137"/>
      <w:bookmarkStart w:id="21" w:name="_Toc26504"/>
      <w:bookmarkStart w:id="22" w:name="_Toc30358"/>
      <w:bookmarkStart w:id="23" w:name="_Toc25496"/>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输血科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输血科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输血科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输血科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9714"/>
      <w:bookmarkStart w:id="40" w:name="_Toc25272"/>
      <w:bookmarkStart w:id="41" w:name="_Toc4033"/>
      <w:bookmarkStart w:id="42" w:name="_Toc76373872"/>
      <w:bookmarkStart w:id="43" w:name="_Toc1422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34ED19ED">
      <w:pPr>
        <w:widowControl/>
        <w:spacing w:before="120" w:beforeLines="50" w:line="360" w:lineRule="exact"/>
        <w:outlineLvl w:val="1"/>
        <w:rPr>
          <w:rFonts w:hint="eastAsia" w:ascii="Times New Roman" w:hAnsi="Times New Roman" w:eastAsia="宋体" w:cs="Times New Roman"/>
          <w:b w:val="0"/>
          <w:bCs w:val="0"/>
          <w:i w:val="0"/>
          <w:color w:val="auto"/>
          <w:kern w:val="2"/>
          <w:sz w:val="24"/>
          <w:szCs w:val="24"/>
          <w:lang w:val="en-US" w:eastAsia="zh-CN" w:bidi="ar-SA"/>
        </w:rPr>
      </w:pPr>
      <w:bookmarkStart w:id="46" w:name="_Toc32286"/>
      <w:r>
        <w:rPr>
          <w:rFonts w:hint="eastAsia" w:cs="宋体"/>
          <w:b/>
          <w:color w:val="auto"/>
          <w:sz w:val="24"/>
        </w:rPr>
        <w:t>一、</w:t>
      </w:r>
      <w:bookmarkStart w:id="47" w:name="_Toc76373874"/>
      <w:bookmarkStart w:id="48" w:name="_Toc11474"/>
      <w:bookmarkStart w:id="49" w:name="_Toc13391"/>
      <w:bookmarkStart w:id="50" w:name="_Toc2599"/>
      <w:bookmarkStart w:id="51" w:name="_Toc3153"/>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29225"/>
      <w:bookmarkStart w:id="56" w:name="_Toc6355"/>
      <w:bookmarkStart w:id="57" w:name="_Toc76373876"/>
      <w:bookmarkStart w:id="58" w:name="_Toc30465"/>
      <w:bookmarkStart w:id="59" w:name="_Toc1955"/>
      <w:bookmarkStart w:id="60" w:name="_Toc13107"/>
    </w:p>
    <w:p w14:paraId="6BD57247">
      <w:pPr>
        <w:pStyle w:val="23"/>
        <w:ind w:left="0" w:leftChars="0" w:firstLine="0" w:firstLineChars="0"/>
        <w:jc w:val="both"/>
        <w:rPr>
          <w:rFonts w:hint="default" w:ascii="Times New Roman" w:hAnsi="Times New Roman" w:eastAsia="宋体" w:cs="Times New Roman"/>
          <w:b/>
          <w:bCs/>
          <w:i w:val="0"/>
          <w:color w:val="auto"/>
          <w:kern w:val="2"/>
          <w:sz w:val="24"/>
          <w:szCs w:val="24"/>
          <w:lang w:val="en-US" w:eastAsia="zh-CN" w:bidi="ar-SA"/>
        </w:rPr>
      </w:pPr>
      <w:r>
        <w:rPr>
          <w:rFonts w:hint="eastAsia" w:ascii="Times New Roman" w:hAnsi="Times New Roman" w:eastAsia="宋体" w:cs="Times New Roman"/>
          <w:b/>
          <w:bCs/>
          <w:i w:val="0"/>
          <w:color w:val="auto"/>
          <w:kern w:val="2"/>
          <w:sz w:val="24"/>
          <w:szCs w:val="24"/>
          <w:lang w:val="en-US" w:eastAsia="zh-CN" w:bidi="ar-SA"/>
        </w:rPr>
        <w:t>包</w:t>
      </w:r>
      <w:r>
        <w:rPr>
          <w:rFonts w:hint="eastAsia" w:cs="Times New Roman"/>
          <w:b/>
          <w:bCs/>
          <w:i w:val="0"/>
          <w:color w:val="auto"/>
          <w:kern w:val="2"/>
          <w:sz w:val="24"/>
          <w:szCs w:val="24"/>
          <w:lang w:val="en-US" w:eastAsia="zh-CN" w:bidi="ar-SA"/>
        </w:rPr>
        <w:t>1</w:t>
      </w:r>
    </w:p>
    <w:p w14:paraId="6909F740">
      <w:pPr>
        <w:pStyle w:val="23"/>
        <w:ind w:left="0" w:leftChars="0" w:firstLine="480" w:firstLineChars="200"/>
        <w:jc w:val="both"/>
        <w:rPr>
          <w:rFonts w:hint="eastAsia"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血栓弹力图试验(活化凝血)试剂盒</w:t>
      </w:r>
      <w:r>
        <w:rPr>
          <w:rFonts w:hint="eastAsia" w:cs="Times New Roman"/>
          <w:b w:val="0"/>
          <w:bCs w:val="0"/>
          <w:i w:val="0"/>
          <w:color w:val="auto"/>
          <w:kern w:val="2"/>
          <w:sz w:val="24"/>
          <w:szCs w:val="24"/>
          <w:lang w:val="en-US" w:eastAsia="zh-CN" w:bidi="ar-SA"/>
        </w:rPr>
        <w:t>：</w:t>
      </w:r>
    </w:p>
    <w:p w14:paraId="25E49AE5">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1.用高岭土加钙离子激活内源性凝血途径，通过检测血液凝固过程中流变学的变化，提供除血管因素外、其他参与凝血相关要素的状态信息，为临床提供患者的全血整体凝血状况。</w:t>
      </w:r>
    </w:p>
    <w:p w14:paraId="61CA3DD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2.试剂盒包含激活剂、检测杯、必要的稀释或者溶解剂，</w:t>
      </w:r>
    </w:p>
    <w:p w14:paraId="65546C11">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3.在规定储存条件下有效期均不低于20个月。</w:t>
      </w:r>
    </w:p>
    <w:p w14:paraId="530B7499">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4.参数至少包括：R、K、Angle（ɑ）、Ma、EPL、LY30等。</w:t>
      </w:r>
    </w:p>
    <w:p w14:paraId="6AB7E053">
      <w:pPr>
        <w:rPr>
          <w:rFonts w:hint="default"/>
          <w:lang w:val="en-US" w:eastAsia="zh-CN"/>
        </w:rPr>
      </w:pPr>
    </w:p>
    <w:p w14:paraId="369F0671">
      <w:pPr>
        <w:pStyle w:val="168"/>
        <w:widowControl/>
        <w:numPr>
          <w:ilvl w:val="0"/>
          <w:numId w:val="0"/>
        </w:numPr>
        <w:spacing w:line="400" w:lineRule="exact"/>
        <w:ind w:firstLine="440" w:firstLineChars="200"/>
        <w:rPr>
          <w:rFonts w:hint="eastAsia" w:ascii="宋体" w:hAnsi="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肝素检测试剂盒</w:t>
      </w:r>
      <w:r>
        <w:rPr>
          <w:rFonts w:hint="eastAsia" w:ascii="宋体" w:hAnsi="宋体" w:cs="宋体"/>
          <w:i w:val="0"/>
          <w:iCs w:val="0"/>
          <w:caps w:val="0"/>
          <w:color w:val="0F1115"/>
          <w:spacing w:val="0"/>
          <w:kern w:val="0"/>
          <w:sz w:val="22"/>
          <w:szCs w:val="22"/>
          <w:highlight w:val="none"/>
          <w:lang w:val="en-US" w:eastAsia="zh-CN" w:bidi="ar"/>
        </w:rPr>
        <w:t>：</w:t>
      </w:r>
    </w:p>
    <w:p w14:paraId="0CE3ED8D">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1.通过检测在有无肝素酶存在情况下的凝血差异，判断是否存肝素或肝素样物质的作用、以及作用程度，为临床肝素或肝素样物质导致的凝血紊乱，以及指导治疗提供实验室依据。</w:t>
      </w:r>
    </w:p>
    <w:p w14:paraId="1D85FC8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2.试剂中的肝素酶须对普通肝素、低分子肝素均有显著的分解作用。</w:t>
      </w:r>
    </w:p>
    <w:p w14:paraId="5CBA021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3.试剂盒组成包含激活剂、检测杯、配套稀释或溶解剂。</w:t>
      </w:r>
    </w:p>
    <w:p w14:paraId="61FE57A6">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4.参数至少包括：R、K、Angle（ɑ）、Ma、EPL、LY30等。</w:t>
      </w:r>
    </w:p>
    <w:p w14:paraId="207B1C2A">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5.在规定储存条件下有效期均不低于20个月。</w:t>
      </w:r>
    </w:p>
    <w:p w14:paraId="4BC616B2">
      <w:pPr>
        <w:pStyle w:val="31"/>
        <w:rPr>
          <w:rFonts w:hint="default"/>
          <w:lang w:val="en-US" w:eastAsia="zh-CN"/>
        </w:rPr>
      </w:pPr>
    </w:p>
    <w:p w14:paraId="7CE67B4F">
      <w:pPr>
        <w:pStyle w:val="168"/>
        <w:widowControl/>
        <w:numPr>
          <w:ilvl w:val="0"/>
          <w:numId w:val="0"/>
        </w:numPr>
        <w:spacing w:line="400" w:lineRule="exact"/>
        <w:ind w:firstLine="440" w:firstLineChars="200"/>
        <w:rPr>
          <w:rFonts w:hint="eastAsia" w:ascii="宋体" w:hAnsi="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凝血激活检测试剂盒</w:t>
      </w:r>
      <w:r>
        <w:rPr>
          <w:rFonts w:hint="eastAsia" w:ascii="宋体" w:hAnsi="宋体" w:cs="宋体"/>
          <w:i w:val="0"/>
          <w:iCs w:val="0"/>
          <w:caps w:val="0"/>
          <w:color w:val="0F1115"/>
          <w:spacing w:val="0"/>
          <w:kern w:val="0"/>
          <w:sz w:val="22"/>
          <w:szCs w:val="22"/>
          <w:highlight w:val="none"/>
          <w:lang w:val="en-US" w:eastAsia="zh-CN" w:bidi="ar"/>
        </w:rPr>
        <w:t>：</w:t>
      </w:r>
    </w:p>
    <w:p w14:paraId="1929130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用组织因子、高岭土以及钙离子，快速激活内、外源性凝血途径，通过检测血液凝固过程中流变学的变化，短时间内（参考15—20分钟左右）提供除血管因素外、其他参与凝血相关要素的状态信息，为临床提供患者的全血整体凝血状况，尤其适用于创伤、大出血等危急重症患者。</w:t>
      </w:r>
    </w:p>
    <w:p w14:paraId="062D1A97">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2.检测参数至少包括：ACT、R、K、Angle（ɑ）、Ma，衍生参数EPL、LY30等。</w:t>
      </w:r>
    </w:p>
    <w:p w14:paraId="67AF3C42">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3.试剂盒组成包含激活剂、检测杯、配套稀释或溶解剂。</w:t>
      </w:r>
    </w:p>
    <w:p w14:paraId="0E27F4F3">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4.在规定储存条件下有效期均不低于20个月。</w:t>
      </w:r>
    </w:p>
    <w:p w14:paraId="69B1D005">
      <w:pPr>
        <w:pStyle w:val="31"/>
        <w:rPr>
          <w:rFonts w:hint="default"/>
          <w:lang w:val="en-US" w:eastAsia="zh-CN"/>
        </w:rPr>
      </w:pPr>
    </w:p>
    <w:p w14:paraId="459A894D">
      <w:pPr>
        <w:pStyle w:val="168"/>
        <w:widowControl/>
        <w:numPr>
          <w:ilvl w:val="0"/>
          <w:numId w:val="0"/>
        </w:numPr>
        <w:spacing w:line="400" w:lineRule="exact"/>
        <w:ind w:firstLine="440" w:firstLineChars="200"/>
        <w:rPr>
          <w:rFonts w:hint="eastAsia" w:ascii="宋体" w:hAnsi="宋体" w:cs="宋体"/>
          <w:i w:val="0"/>
          <w:iCs w:val="0"/>
          <w:caps w:val="0"/>
          <w:color w:val="0F1115"/>
          <w:spacing w:val="0"/>
          <w:kern w:val="0"/>
          <w:sz w:val="22"/>
          <w:szCs w:val="22"/>
          <w:highlight w:val="none"/>
          <w:lang w:val="en-US" w:eastAsia="zh-CN" w:bidi="ar"/>
        </w:rPr>
      </w:pPr>
      <w:r>
        <w:rPr>
          <w:rFonts w:hint="eastAsia" w:ascii="宋体" w:hAnsi="宋体" w:eastAsia="宋体" w:cs="宋体"/>
          <w:i w:val="0"/>
          <w:iCs w:val="0"/>
          <w:caps w:val="0"/>
          <w:color w:val="0F1115"/>
          <w:spacing w:val="0"/>
          <w:kern w:val="0"/>
          <w:sz w:val="22"/>
          <w:szCs w:val="22"/>
          <w:highlight w:val="none"/>
          <w:lang w:val="en-US" w:eastAsia="zh-CN" w:bidi="ar"/>
        </w:rPr>
        <w:t>血栓弹力图试验试剂盒(血小板-AA及ADP试剂)</w:t>
      </w:r>
      <w:r>
        <w:rPr>
          <w:rFonts w:hint="eastAsia" w:ascii="宋体" w:hAnsi="宋体" w:cs="宋体"/>
          <w:i w:val="0"/>
          <w:iCs w:val="0"/>
          <w:caps w:val="0"/>
          <w:color w:val="0F1115"/>
          <w:spacing w:val="0"/>
          <w:kern w:val="0"/>
          <w:sz w:val="22"/>
          <w:szCs w:val="22"/>
          <w:highlight w:val="none"/>
          <w:lang w:val="en-US" w:eastAsia="zh-CN" w:bidi="ar"/>
        </w:rPr>
        <w:t>及其配套设备：</w:t>
      </w:r>
    </w:p>
    <w:p w14:paraId="0EC9B5D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通过不同的血小板诱聚剂（AA或ADP），在凝血过程程诱导血小板聚集，并通过与常规途径凝血激活的比较，来评估AA或者ADP途径血小板聚集情况，常用于阿司匹林类、氯吡格雷类抗血小板药物疗效评估以及用药指导。</w:t>
      </w:r>
    </w:p>
    <w:p w14:paraId="3BF9AC6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2.要求能自动算出AA、ADP受体通道的抑制率（AA%，ADP%），ADP%和AA%变异系数 CV≤10%。</w:t>
      </w:r>
    </w:p>
    <w:p w14:paraId="10EEA3D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3.检测试剂盒在规定储存条件下有效期不低于20个月。</w:t>
      </w:r>
    </w:p>
    <w:p w14:paraId="30ACDC53">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4.参数至少包括：R、K、Angle（ɑ）、Ma、EPL、LY30等。</w:t>
      </w:r>
    </w:p>
    <w:p w14:paraId="7E0EA0D6">
      <w:pPr>
        <w:pStyle w:val="31"/>
        <w:rPr>
          <w:rFonts w:hint="default"/>
          <w:lang w:val="en-US" w:eastAsia="zh-CN"/>
        </w:rPr>
      </w:pPr>
    </w:p>
    <w:p w14:paraId="6FC3C477">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eastAsia" w:ascii="Times New Roman" w:hAnsi="Times New Roman" w:cs="Times New Roman"/>
          <w:b w:val="0"/>
          <w:bCs w:val="0"/>
          <w:i w:val="0"/>
          <w:color w:val="auto"/>
          <w:kern w:val="2"/>
          <w:sz w:val="24"/>
          <w:szCs w:val="24"/>
          <w:lang w:val="en-US" w:eastAsia="zh-CN" w:bidi="ar-SA"/>
        </w:rPr>
        <w:t>配套设备：</w:t>
      </w:r>
    </w:p>
    <w:p w14:paraId="227BA276">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1.平台要求：即插即用，设备能自动水平调节。</w:t>
      </w:r>
    </w:p>
    <w:p w14:paraId="407628D5">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2.样本要求：全血、PRP、PPP</w:t>
      </w:r>
    </w:p>
    <w:p w14:paraId="11A6AF3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3.检测通道：≥4个独立检测通道，每个通道独立控温，测试温度可调。</w:t>
      </w:r>
    </w:p>
    <w:p w14:paraId="13A83AD6">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4.仪器性能：通道间差异CV值≤10%（R、Angle、MA）；测试重复性CV值≤10%（R、Angle、MA）。</w:t>
      </w:r>
    </w:p>
    <w:p w14:paraId="0D18258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5.设备具有自动恒温功能，温度准确度与波动度：正常测试条件下（37℃）准确度不超过±0.3℃，波动度不超过0.3℃，支持温度超出范围提示报警功能。</w:t>
      </w:r>
    </w:p>
    <w:p w14:paraId="00D3AD35">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6.一体化结构设计，触摸屏操作系统（支持医用手套操作）</w:t>
      </w:r>
    </w:p>
    <w:p w14:paraId="3065C219">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7.扫描：条码识读能力，同时保留外接扫码枪接口，快捷扫描录入试剂和病人信息。</w:t>
      </w:r>
    </w:p>
    <w:p w14:paraId="14C69796">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8.报告模式：数据＋图形，支持自定义打印报告模式，并提供初步诊断意见。</w:t>
      </w:r>
    </w:p>
    <w:p w14:paraId="15B1F04C">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9.数据与传输：支持操作日志、报警日志筛选查询，支持数据备份与数据恢复，支持LIS、HIS双通连接，可实现检测结果传输。≥50000条的数据存储。</w:t>
      </w:r>
    </w:p>
    <w:p w14:paraId="228864F3">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10.作时间：连续工作24小时以上，设备使用寿命≥10年。</w:t>
      </w:r>
    </w:p>
    <w:p w14:paraId="45940E2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11.仪器具备开机自动校准功能</w:t>
      </w:r>
    </w:p>
    <w:p w14:paraId="4DF83C5B">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12.环境温度：</w:t>
      </w:r>
    </w:p>
    <w:p w14:paraId="092E4DE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（1）工作条件：温度15-30℃，湿度 35-85%(RH)，无凝露，大气压力57.0-106.0kPa。</w:t>
      </w:r>
    </w:p>
    <w:p w14:paraId="5960660B">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（2）储运条件：温度-20-55℃，湿度10-95%(RH)，无凝露，大气压力22.0-107.4kPa。</w:t>
      </w:r>
    </w:p>
    <w:p w14:paraId="3B0F37B1">
      <w:pPr>
        <w:pStyle w:val="168"/>
        <w:widowControl/>
        <w:numPr>
          <w:ilvl w:val="0"/>
          <w:numId w:val="0"/>
        </w:numPr>
        <w:spacing w:line="400" w:lineRule="exact"/>
        <w:ind w:firstLine="480" w:firstLineChars="200"/>
        <w:rPr>
          <w:rFonts w:hint="eastAsia" w:ascii="Times New Roman" w:hAnsi="Times New Roman"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13.仪器没有扫码限制检测次数的功能</w:t>
      </w:r>
      <w:r>
        <w:rPr>
          <w:rFonts w:hint="eastAsia" w:ascii="Times New Roman" w:hAnsi="Times New Roman" w:cs="Times New Roman"/>
          <w:b w:val="0"/>
          <w:bCs w:val="0"/>
          <w:i w:val="0"/>
          <w:color w:val="auto"/>
          <w:kern w:val="2"/>
          <w:sz w:val="24"/>
          <w:szCs w:val="24"/>
          <w:lang w:val="en-US" w:eastAsia="zh-CN" w:bidi="ar-SA"/>
        </w:rPr>
        <w:t>。</w:t>
      </w:r>
    </w:p>
    <w:p w14:paraId="0057E33D">
      <w:pPr>
        <w:pStyle w:val="31"/>
        <w:rPr>
          <w:rFonts w:hint="default"/>
          <w:lang w:val="en-US" w:eastAsia="zh-CN"/>
        </w:rPr>
      </w:pPr>
    </w:p>
    <w:p w14:paraId="0F642B18">
      <w:pPr>
        <w:pStyle w:val="23"/>
        <w:ind w:left="0" w:leftChars="0" w:firstLine="0" w:firstLineChars="0"/>
        <w:jc w:val="both"/>
        <w:rPr>
          <w:rFonts w:hint="default" w:ascii="Times New Roman" w:hAnsi="Times New Roman" w:eastAsia="宋体" w:cs="Times New Roman"/>
          <w:b/>
          <w:bCs/>
          <w:i w:val="0"/>
          <w:color w:val="auto"/>
          <w:kern w:val="2"/>
          <w:sz w:val="24"/>
          <w:szCs w:val="24"/>
          <w:lang w:val="en-US" w:eastAsia="zh-CN" w:bidi="ar-SA"/>
        </w:rPr>
      </w:pPr>
      <w:r>
        <w:rPr>
          <w:rFonts w:hint="eastAsia" w:ascii="Times New Roman" w:hAnsi="Times New Roman" w:eastAsia="宋体" w:cs="Times New Roman"/>
          <w:b/>
          <w:bCs/>
          <w:i w:val="0"/>
          <w:color w:val="auto"/>
          <w:kern w:val="2"/>
          <w:sz w:val="24"/>
          <w:szCs w:val="24"/>
          <w:lang w:val="en-US" w:eastAsia="zh-CN" w:bidi="ar-SA"/>
        </w:rPr>
        <w:t>包</w:t>
      </w:r>
      <w:r>
        <w:rPr>
          <w:rFonts w:hint="eastAsia" w:cs="Times New Roman"/>
          <w:b/>
          <w:bCs/>
          <w:i w:val="0"/>
          <w:color w:val="auto"/>
          <w:kern w:val="2"/>
          <w:sz w:val="24"/>
          <w:szCs w:val="24"/>
          <w:lang w:val="en-US" w:eastAsia="zh-CN" w:bidi="ar-SA"/>
        </w:rPr>
        <w:t>2</w:t>
      </w:r>
    </w:p>
    <w:p w14:paraId="29DE2A00">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用于PRP的无菌分装、转移及低温冻存</w:t>
      </w:r>
    </w:p>
    <w:p w14:paraId="635EE26A">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1.容量5-10ml</w:t>
      </w:r>
    </w:p>
    <w:p w14:paraId="681E025C">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2.袋体材料温度耐受范围-80℃至50℃</w:t>
      </w:r>
    </w:p>
    <w:p w14:paraId="38BD1490">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3.一次性使用，无菌、无热源，空袋不含抗凝剂。</w:t>
      </w:r>
    </w:p>
    <w:p w14:paraId="7377E6E0">
      <w:pPr>
        <w:pStyle w:val="31"/>
        <w:rPr>
          <w:rFonts w:hint="default"/>
          <w:lang w:val="en-US" w:eastAsia="zh-CN"/>
        </w:rPr>
      </w:pPr>
    </w:p>
    <w:p w14:paraId="5F84FCEE">
      <w:pPr>
        <w:pStyle w:val="23"/>
        <w:ind w:left="0" w:leftChars="0" w:firstLine="0" w:firstLineChars="0"/>
        <w:jc w:val="both"/>
        <w:rPr>
          <w:rFonts w:hint="default" w:ascii="Times New Roman" w:hAnsi="Times New Roman" w:eastAsia="宋体" w:cs="Times New Roman"/>
          <w:b/>
          <w:bCs/>
          <w:i w:val="0"/>
          <w:color w:val="auto"/>
          <w:kern w:val="2"/>
          <w:sz w:val="24"/>
          <w:szCs w:val="24"/>
          <w:lang w:val="en-US" w:eastAsia="zh-CN" w:bidi="ar-SA"/>
        </w:rPr>
      </w:pPr>
      <w:r>
        <w:rPr>
          <w:rFonts w:hint="eastAsia" w:ascii="Times New Roman" w:hAnsi="Times New Roman" w:eastAsia="宋体" w:cs="Times New Roman"/>
          <w:b/>
          <w:bCs/>
          <w:i w:val="0"/>
          <w:color w:val="auto"/>
          <w:kern w:val="2"/>
          <w:sz w:val="24"/>
          <w:szCs w:val="24"/>
          <w:lang w:val="en-US" w:eastAsia="zh-CN" w:bidi="ar-SA"/>
        </w:rPr>
        <w:t>包</w:t>
      </w:r>
      <w:r>
        <w:rPr>
          <w:rFonts w:hint="eastAsia" w:cs="Times New Roman"/>
          <w:b/>
          <w:bCs/>
          <w:i w:val="0"/>
          <w:color w:val="auto"/>
          <w:kern w:val="2"/>
          <w:sz w:val="24"/>
          <w:szCs w:val="24"/>
          <w:lang w:val="en-US" w:eastAsia="zh-CN" w:bidi="ar-SA"/>
        </w:rPr>
        <w:t>3</w:t>
      </w:r>
    </w:p>
    <w:p w14:paraId="51DBB61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用于检测血小板特异性及组织相容性抗体检测，临床用于免疫性血小板减少、血小板输注无效等疾病的诊断。</w:t>
      </w:r>
    </w:p>
    <w:p w14:paraId="6918EA71">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实际参数：</w:t>
      </w:r>
    </w:p>
    <w:p w14:paraId="60DA7255">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 试剂盒说明书体现血小板抗体的检测类型为血小板HPA、HLA抗体检测</w:t>
      </w:r>
      <w:r>
        <w:rPr>
          <w:rFonts w:hint="eastAsia" w:ascii="Times New Roman" w:hAnsi="Times New Roman" w:cs="Times New Roman"/>
          <w:b w:val="0"/>
          <w:bCs w:val="0"/>
          <w:i w:val="0"/>
          <w:color w:val="auto"/>
          <w:kern w:val="2"/>
          <w:sz w:val="24"/>
          <w:szCs w:val="24"/>
          <w:lang w:val="en-US" w:eastAsia="zh-CN" w:bidi="ar-SA"/>
        </w:rPr>
        <w:t>；</w:t>
      </w:r>
    </w:p>
    <w:p w14:paraId="0039DD32">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2.血小板抗筛细胞谱涵盖中国人群常见抗原</w:t>
      </w:r>
      <w:r>
        <w:rPr>
          <w:rFonts w:hint="eastAsia" w:ascii="Times New Roman" w:hAnsi="Times New Roman" w:cs="Times New Roman"/>
          <w:b w:val="0"/>
          <w:bCs w:val="0"/>
          <w:i w:val="0"/>
          <w:color w:val="auto"/>
          <w:kern w:val="2"/>
          <w:sz w:val="24"/>
          <w:szCs w:val="24"/>
          <w:lang w:val="en-US" w:eastAsia="zh-CN" w:bidi="ar-SA"/>
        </w:rPr>
        <w:t>；</w:t>
      </w:r>
    </w:p>
    <w:p w14:paraId="176A2FB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3.所有试剂，包括试剂血小板、指示红细胞、抗体、等都须有正规的国内注册证</w:t>
      </w:r>
      <w:r>
        <w:rPr>
          <w:rFonts w:hint="eastAsia" w:ascii="Times New Roman" w:hAnsi="Times New Roman" w:cs="Times New Roman"/>
          <w:b w:val="0"/>
          <w:bCs w:val="0"/>
          <w:i w:val="0"/>
          <w:color w:val="auto"/>
          <w:kern w:val="2"/>
          <w:sz w:val="24"/>
          <w:szCs w:val="24"/>
          <w:lang w:val="en-US" w:eastAsia="zh-CN" w:bidi="ar-SA"/>
        </w:rPr>
        <w:t>；</w:t>
      </w:r>
    </w:p>
    <w:p w14:paraId="68B3AE97">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4.配备配套使用的离心机和自动洗板机。</w:t>
      </w:r>
    </w:p>
    <w:p w14:paraId="29D87ADE">
      <w:pPr>
        <w:pStyle w:val="31"/>
        <w:rPr>
          <w:rFonts w:hint="default"/>
          <w:lang w:val="en-US" w:eastAsia="zh-CN"/>
        </w:rPr>
      </w:pPr>
    </w:p>
    <w:p w14:paraId="0A82765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离心机参数：</w:t>
      </w:r>
    </w:p>
    <w:p w14:paraId="72E2E23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1.与试剂性能匹配</w:t>
      </w:r>
      <w:r>
        <w:rPr>
          <w:rFonts w:hint="eastAsia" w:ascii="Times New Roman" w:hAnsi="Times New Roman" w:cs="Times New Roman"/>
          <w:b w:val="0"/>
          <w:bCs w:val="0"/>
          <w:i w:val="0"/>
          <w:color w:val="auto"/>
          <w:kern w:val="2"/>
          <w:sz w:val="24"/>
          <w:szCs w:val="24"/>
          <w:lang w:val="en-US" w:eastAsia="zh-CN" w:bidi="ar-SA"/>
        </w:rPr>
        <w:t>；</w:t>
      </w:r>
    </w:p>
    <w:p w14:paraId="149AC673">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2.离心结束后离心机盖自动打开，便于取放样品；</w:t>
      </w:r>
    </w:p>
    <w:p w14:paraId="6CFC043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3.具有故障自动诊断系统，针对超速、超温、不平衡、电子门盖等项报警或保护，确保仪器安全运</w:t>
      </w:r>
      <w:r>
        <w:rPr>
          <w:rFonts w:hint="eastAsia" w:ascii="Times New Roman" w:hAnsi="Times New Roman" w:cs="Times New Roman"/>
          <w:b w:val="0"/>
          <w:bCs w:val="0"/>
          <w:i w:val="0"/>
          <w:color w:val="auto"/>
          <w:kern w:val="2"/>
          <w:sz w:val="24"/>
          <w:szCs w:val="24"/>
          <w:lang w:val="en-US" w:eastAsia="zh-CN" w:bidi="ar-SA"/>
        </w:rPr>
        <w:t>；</w:t>
      </w:r>
    </w:p>
    <w:p w14:paraId="3E4BA5BC">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4.微机变频控制技术，液晶显示</w:t>
      </w:r>
      <w:r>
        <w:rPr>
          <w:rFonts w:hint="eastAsia" w:ascii="Times New Roman" w:hAnsi="Times New Roman" w:cs="Times New Roman"/>
          <w:b w:val="0"/>
          <w:bCs w:val="0"/>
          <w:i w:val="0"/>
          <w:color w:val="auto"/>
          <w:kern w:val="2"/>
          <w:sz w:val="24"/>
          <w:szCs w:val="24"/>
          <w:lang w:val="en-US" w:eastAsia="zh-CN" w:bidi="ar-SA"/>
        </w:rPr>
        <w:t>；</w:t>
      </w:r>
    </w:p>
    <w:p w14:paraId="7F3DC3BD">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5.定时范围1s-99min59s</w:t>
      </w:r>
      <w:r>
        <w:rPr>
          <w:rFonts w:hint="eastAsia" w:ascii="Times New Roman" w:hAnsi="Times New Roman" w:cs="Times New Roman"/>
          <w:b w:val="0"/>
          <w:bCs w:val="0"/>
          <w:i w:val="0"/>
          <w:color w:val="auto"/>
          <w:kern w:val="2"/>
          <w:sz w:val="24"/>
          <w:szCs w:val="24"/>
          <w:lang w:val="en-US" w:eastAsia="zh-CN" w:bidi="ar-SA"/>
        </w:rPr>
        <w:t>；</w:t>
      </w:r>
    </w:p>
    <w:p w14:paraId="4646AF9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6.噪声≤65dB</w:t>
      </w:r>
      <w:r>
        <w:rPr>
          <w:rFonts w:hint="eastAsia" w:ascii="Times New Roman" w:hAnsi="Times New Roman" w:cs="Times New Roman"/>
          <w:b w:val="0"/>
          <w:bCs w:val="0"/>
          <w:i w:val="0"/>
          <w:color w:val="auto"/>
          <w:kern w:val="2"/>
          <w:sz w:val="24"/>
          <w:szCs w:val="24"/>
          <w:lang w:val="en-US" w:eastAsia="zh-CN" w:bidi="ar-SA"/>
        </w:rPr>
        <w:t>；</w:t>
      </w:r>
    </w:p>
    <w:p w14:paraId="6C12E636">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7.转速精度±10rpm</w:t>
      </w:r>
      <w:r>
        <w:rPr>
          <w:rFonts w:hint="eastAsia" w:ascii="Times New Roman" w:hAnsi="Times New Roman" w:cs="Times New Roman"/>
          <w:b w:val="0"/>
          <w:bCs w:val="0"/>
          <w:i w:val="0"/>
          <w:color w:val="auto"/>
          <w:kern w:val="2"/>
          <w:sz w:val="24"/>
          <w:szCs w:val="24"/>
          <w:lang w:val="en-US" w:eastAsia="zh-CN" w:bidi="ar-SA"/>
        </w:rPr>
        <w:t>；</w:t>
      </w:r>
    </w:p>
    <w:p w14:paraId="17195DB7">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8.控制系统变频处理器</w:t>
      </w:r>
      <w:r>
        <w:rPr>
          <w:rFonts w:hint="eastAsia" w:ascii="Times New Roman" w:hAnsi="Times New Roman" w:cs="Times New Roman"/>
          <w:b w:val="0"/>
          <w:bCs w:val="0"/>
          <w:i w:val="0"/>
          <w:color w:val="auto"/>
          <w:kern w:val="2"/>
          <w:sz w:val="24"/>
          <w:szCs w:val="24"/>
          <w:lang w:val="en-US" w:eastAsia="zh-CN" w:bidi="ar-SA"/>
        </w:rPr>
        <w:t>；</w:t>
      </w:r>
    </w:p>
    <w:p w14:paraId="1F32AE65">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9.电源AC220V 50HZ</w:t>
      </w:r>
      <w:r>
        <w:rPr>
          <w:rFonts w:hint="eastAsia" w:ascii="Times New Roman" w:hAnsi="Times New Roman" w:cs="Times New Roman"/>
          <w:b w:val="0"/>
          <w:bCs w:val="0"/>
          <w:i w:val="0"/>
          <w:color w:val="auto"/>
          <w:kern w:val="2"/>
          <w:sz w:val="24"/>
          <w:szCs w:val="24"/>
          <w:lang w:val="en-US" w:eastAsia="zh-CN" w:bidi="ar-SA"/>
        </w:rPr>
        <w:t>。</w:t>
      </w:r>
    </w:p>
    <w:p w14:paraId="07521CFC">
      <w:pPr>
        <w:pStyle w:val="31"/>
        <w:rPr>
          <w:rFonts w:hint="default"/>
          <w:lang w:val="en-US" w:eastAsia="zh-CN"/>
        </w:rPr>
      </w:pPr>
    </w:p>
    <w:p w14:paraId="6DD368B2">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洗板机参数：</w:t>
      </w:r>
    </w:p>
    <w:p w14:paraId="1D33C60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1.由微电脑控制，全中文操作</w:t>
      </w:r>
      <w:r>
        <w:rPr>
          <w:rFonts w:hint="eastAsia" w:ascii="Times New Roman" w:hAnsi="Times New Roman" w:cs="Times New Roman"/>
          <w:b w:val="0"/>
          <w:bCs w:val="0"/>
          <w:i w:val="0"/>
          <w:color w:val="auto"/>
          <w:kern w:val="2"/>
          <w:sz w:val="24"/>
          <w:szCs w:val="24"/>
          <w:lang w:val="en-US" w:eastAsia="zh-CN" w:bidi="ar-SA"/>
        </w:rPr>
        <w:t>；</w:t>
      </w:r>
    </w:p>
    <w:p w14:paraId="2C07ACA8">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2.具有多点吸液功能，洗板残留液小于1μL</w:t>
      </w:r>
      <w:r>
        <w:rPr>
          <w:rFonts w:hint="eastAsia" w:ascii="Times New Roman" w:hAnsi="Times New Roman" w:cs="Times New Roman"/>
          <w:b w:val="0"/>
          <w:bCs w:val="0"/>
          <w:i w:val="0"/>
          <w:color w:val="auto"/>
          <w:kern w:val="2"/>
          <w:sz w:val="24"/>
          <w:szCs w:val="24"/>
          <w:lang w:val="en-US" w:eastAsia="zh-CN" w:bidi="ar-SA"/>
        </w:rPr>
        <w:t>；</w:t>
      </w:r>
    </w:p>
    <w:p w14:paraId="7762C56F">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3.加液量精度 ≤1.5%</w:t>
      </w:r>
      <w:r>
        <w:rPr>
          <w:rFonts w:hint="eastAsia" w:ascii="Times New Roman" w:hAnsi="Times New Roman" w:cs="Times New Roman"/>
          <w:b w:val="0"/>
          <w:bCs w:val="0"/>
          <w:i w:val="0"/>
          <w:color w:val="auto"/>
          <w:kern w:val="2"/>
          <w:sz w:val="24"/>
          <w:szCs w:val="24"/>
          <w:lang w:val="en-US" w:eastAsia="zh-CN" w:bidi="ar-SA"/>
        </w:rPr>
        <w:t>；</w:t>
      </w:r>
    </w:p>
    <w:p w14:paraId="66D42881">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4.注液量50-5000μL可调；</w:t>
      </w:r>
    </w:p>
    <w:p w14:paraId="4467955D">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5.洗板次数：0-900次可调；</w:t>
      </w:r>
    </w:p>
    <w:p w14:paraId="55AE58B0">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6.使用板型：标准48孔、96孔或其他类型酶标板</w:t>
      </w:r>
      <w:r>
        <w:rPr>
          <w:rFonts w:hint="eastAsia" w:ascii="Times New Roman" w:hAnsi="Times New Roman" w:cs="Times New Roman"/>
          <w:b w:val="0"/>
          <w:bCs w:val="0"/>
          <w:i w:val="0"/>
          <w:color w:val="auto"/>
          <w:kern w:val="2"/>
          <w:sz w:val="24"/>
          <w:szCs w:val="24"/>
          <w:lang w:val="en-US" w:eastAsia="zh-CN" w:bidi="ar-SA"/>
        </w:rPr>
        <w:t>；</w:t>
      </w:r>
    </w:p>
    <w:p w14:paraId="0663B923">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7.震动和浸泡：可设置；</w:t>
      </w:r>
    </w:p>
    <w:p w14:paraId="3020FA74">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8.浸泡时间：0-9000S可调</w:t>
      </w:r>
      <w:r>
        <w:rPr>
          <w:rFonts w:hint="eastAsia" w:ascii="Times New Roman" w:hAnsi="Times New Roman" w:cs="Times New Roman"/>
          <w:b w:val="0"/>
          <w:bCs w:val="0"/>
          <w:i w:val="0"/>
          <w:color w:val="auto"/>
          <w:kern w:val="2"/>
          <w:sz w:val="24"/>
          <w:szCs w:val="24"/>
          <w:lang w:val="en-US" w:eastAsia="zh-CN" w:bidi="ar-SA"/>
        </w:rPr>
        <w:t>；</w:t>
      </w:r>
    </w:p>
    <w:p w14:paraId="50C28496">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9.震板时间：0-9000S可调</w:t>
      </w:r>
      <w:r>
        <w:rPr>
          <w:rFonts w:hint="eastAsia" w:ascii="Times New Roman" w:hAnsi="Times New Roman" w:cs="Times New Roman"/>
          <w:b w:val="0"/>
          <w:bCs w:val="0"/>
          <w:i w:val="0"/>
          <w:color w:val="auto"/>
          <w:kern w:val="2"/>
          <w:sz w:val="24"/>
          <w:szCs w:val="24"/>
          <w:lang w:val="en-US" w:eastAsia="zh-CN" w:bidi="ar-SA"/>
        </w:rPr>
        <w:t>；</w:t>
      </w:r>
    </w:p>
    <w:p w14:paraId="6B38883B">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10.抽液时间0-900S可设置；</w:t>
      </w:r>
    </w:p>
    <w:p w14:paraId="64242BFA">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11.温控范围：25-45℃±0.5℃</w:t>
      </w:r>
      <w:r>
        <w:rPr>
          <w:rFonts w:hint="eastAsia" w:ascii="Times New Roman" w:hAnsi="Times New Roman" w:cs="Times New Roman"/>
          <w:b w:val="0"/>
          <w:bCs w:val="0"/>
          <w:i w:val="0"/>
          <w:color w:val="auto"/>
          <w:kern w:val="2"/>
          <w:sz w:val="24"/>
          <w:szCs w:val="24"/>
          <w:lang w:val="en-US" w:eastAsia="zh-CN" w:bidi="ar-SA"/>
        </w:rPr>
        <w:t>；</w:t>
      </w:r>
    </w:p>
    <w:p w14:paraId="58EC98CD">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12.孵育计时：0-90分钟可调</w:t>
      </w:r>
      <w:r>
        <w:rPr>
          <w:rFonts w:hint="eastAsia" w:ascii="Times New Roman" w:hAnsi="Times New Roman" w:cs="Times New Roman"/>
          <w:b w:val="0"/>
          <w:bCs w:val="0"/>
          <w:i w:val="0"/>
          <w:color w:val="auto"/>
          <w:kern w:val="2"/>
          <w:sz w:val="24"/>
          <w:szCs w:val="24"/>
          <w:lang w:val="en-US" w:eastAsia="zh-CN" w:bidi="ar-SA"/>
        </w:rPr>
        <w:t>；</w:t>
      </w:r>
    </w:p>
    <w:p w14:paraId="349B78DA">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13.废液满自动排放功能</w:t>
      </w:r>
      <w:r>
        <w:rPr>
          <w:rFonts w:hint="eastAsia" w:ascii="Times New Roman" w:hAnsi="Times New Roman" w:cs="Times New Roman"/>
          <w:b w:val="0"/>
          <w:bCs w:val="0"/>
          <w:i w:val="0"/>
          <w:color w:val="auto"/>
          <w:kern w:val="2"/>
          <w:sz w:val="24"/>
          <w:szCs w:val="24"/>
          <w:lang w:val="en-US" w:eastAsia="zh-CN" w:bidi="ar-SA"/>
        </w:rPr>
        <w:t>；</w:t>
      </w:r>
    </w:p>
    <w:p w14:paraId="382C34F2">
      <w:pPr>
        <w:pStyle w:val="168"/>
        <w:widowControl/>
        <w:numPr>
          <w:ilvl w:val="0"/>
          <w:numId w:val="0"/>
        </w:numPr>
        <w:spacing w:line="400" w:lineRule="exact"/>
        <w:ind w:firstLine="480" w:firstLineChars="200"/>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显示：≥5.1寸液晶显示。</w:t>
      </w:r>
    </w:p>
    <w:p w14:paraId="244D3C80">
      <w:pPr>
        <w:pStyle w:val="31"/>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7524"/>
      <w:bookmarkStart w:id="64" w:name="_Toc76373878"/>
      <w:bookmarkStart w:id="65" w:name="_Toc7794"/>
      <w:bookmarkStart w:id="66" w:name="_Toc2072"/>
      <w:bookmarkStart w:id="67" w:name="_Toc4791"/>
      <w:bookmarkStart w:id="68" w:name="_Toc15650"/>
      <w:bookmarkStart w:id="69" w:name="_Toc17944"/>
      <w:bookmarkStart w:id="70" w:name="_Toc1768"/>
      <w:bookmarkStart w:id="71" w:name="_Toc31843"/>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9339"/>
      <w:bookmarkStart w:id="74" w:name="_Toc5959"/>
      <w:bookmarkStart w:id="75" w:name="_Toc22561"/>
      <w:bookmarkStart w:id="76" w:name="_Toc30551"/>
      <w:bookmarkStart w:id="77" w:name="_Toc14311"/>
      <w:bookmarkStart w:id="78" w:name="_Toc29836"/>
      <w:bookmarkStart w:id="79" w:name="_Toc76373879"/>
      <w:bookmarkStart w:id="80" w:name="_Toc13528"/>
      <w:bookmarkStart w:id="81" w:name="_Toc1690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258"/>
      <w:bookmarkStart w:id="84" w:name="_Toc27893"/>
      <w:bookmarkStart w:id="85" w:name="_Toc20263"/>
      <w:bookmarkStart w:id="86" w:name="_Toc76373885"/>
      <w:bookmarkStart w:id="87" w:name="_Toc27737"/>
      <w:bookmarkStart w:id="88" w:name="_Toc12384"/>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1052"/>
      <w:bookmarkStart w:id="91" w:name="_Toc7115"/>
      <w:bookmarkStart w:id="92" w:name="_Toc12712"/>
      <w:bookmarkStart w:id="93" w:name="_Toc23699"/>
      <w:bookmarkStart w:id="94" w:name="_Toc76373886"/>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76373887"/>
      <w:bookmarkStart w:id="98" w:name="_Toc31293"/>
      <w:bookmarkStart w:id="99" w:name="_Toc13585"/>
      <w:bookmarkStart w:id="100" w:name="_Toc26754"/>
      <w:bookmarkStart w:id="101" w:name="_Toc5535"/>
      <w:bookmarkStart w:id="102" w:name="_Toc9147"/>
      <w:bookmarkStart w:id="103"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16925"/>
      <w:bookmarkStart w:id="105" w:name="_Toc8546"/>
      <w:bookmarkStart w:id="106" w:name="_Toc76373889"/>
      <w:bookmarkStart w:id="107" w:name="_Toc5251"/>
      <w:bookmarkStart w:id="108" w:name="_Toc2900"/>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6071"/>
      <w:bookmarkStart w:id="113" w:name="_Toc76373890"/>
      <w:bookmarkStart w:id="114" w:name="_Toc11342"/>
      <w:bookmarkStart w:id="115" w:name="_Toc27443"/>
      <w:bookmarkStart w:id="116" w:name="_Toc20034"/>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7646"/>
      <w:bookmarkStart w:id="121" w:name="_Toc25199"/>
      <w:bookmarkStart w:id="122" w:name="_Toc10864"/>
      <w:bookmarkStart w:id="123" w:name="_Toc20391"/>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76373904"/>
      <w:bookmarkStart w:id="133" w:name="_Toc24088"/>
      <w:bookmarkStart w:id="134" w:name="_Toc19409"/>
      <w:bookmarkStart w:id="135" w:name="_Toc20762"/>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12863"/>
      <w:bookmarkStart w:id="139" w:name="_Toc16112"/>
      <w:bookmarkStart w:id="140" w:name="_Toc7750"/>
      <w:bookmarkStart w:id="141" w:name="_Toc25920"/>
      <w:bookmarkStart w:id="142" w:name="_Toc11892"/>
      <w:bookmarkStart w:id="143" w:name="_Toc76373907"/>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9"/>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76373909"/>
      <w:bookmarkStart w:id="166" w:name="_Toc21830"/>
      <w:bookmarkStart w:id="167" w:name="_Toc21431"/>
      <w:bookmarkStart w:id="168" w:name="_Toc9795"/>
      <w:bookmarkStart w:id="169" w:name="_Toc27306"/>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3178791"/>
      <w:bookmarkStart w:id="174" w:name="_Toc12647"/>
      <w:bookmarkStart w:id="175" w:name="_Toc76373910"/>
      <w:bookmarkStart w:id="176" w:name="_Toc492721039"/>
      <w:bookmarkStart w:id="177" w:name="_Toc16487"/>
      <w:bookmarkStart w:id="178" w:name="_Toc411"/>
      <w:bookmarkStart w:id="179" w:name="_Toc20258"/>
      <w:bookmarkStart w:id="180" w:name="_Toc20875"/>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8925"/>
      <w:bookmarkStart w:id="184" w:name="_Toc76373912"/>
      <w:bookmarkStart w:id="185" w:name="_Toc6217"/>
      <w:bookmarkStart w:id="186" w:name="_Toc16151"/>
      <w:bookmarkStart w:id="187" w:name="_Toc492721038"/>
      <w:bookmarkStart w:id="188" w:name="_Toc20605"/>
      <w:bookmarkStart w:id="189" w:name="_Toc19291"/>
      <w:bookmarkStart w:id="190" w:name="_Toc4250"/>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506C4D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DAE2694-4524-49B2-8EB9-9620C0B4A88D}"/>
  </w:font>
  <w:font w:name="黑体">
    <w:panose1 w:val="02010609060101010101"/>
    <w:charset w:val="86"/>
    <w:family w:val="auto"/>
    <w:pitch w:val="default"/>
    <w:sig w:usb0="800002BF" w:usb1="38CF7CFA" w:usb2="00000016" w:usb3="00000000" w:csb0="00040001" w:csb1="00000000"/>
    <w:embedRegular r:id="rId2" w:fontKey="{97ED8238-7311-4579-BDCF-2956228BE2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8A9C1D1A-C5C1-439F-8DE0-DE339BA862B0}"/>
  </w:font>
  <w:font w:name="Arial Unicode MS">
    <w:panose1 w:val="020B0604020202020204"/>
    <w:charset w:val="86"/>
    <w:family w:val="roman"/>
    <w:pitch w:val="default"/>
    <w:sig w:usb0="FFFFFFFF" w:usb1="E9FFFFFF" w:usb2="0000003F" w:usb3="00000000" w:csb0="603F01FF" w:csb1="FFFF0000"/>
    <w:embedRegular r:id="rId4" w:fontKey="{53AFC205-9581-4194-B660-AF430D4F6748}"/>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C5B5BB0-0C08-4B52-B203-CE8202E22B81}"/>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D237077A-683E-489A-AFEE-713B8C64D163}"/>
  </w:font>
  <w:font w:name="方正黑体_GBK">
    <w:panose1 w:val="03000509000000000000"/>
    <w:charset w:val="86"/>
    <w:family w:val="script"/>
    <w:pitch w:val="default"/>
    <w:sig w:usb0="00000001" w:usb1="080E0000" w:usb2="00000000" w:usb3="00000000" w:csb0="00040000" w:csb1="00000000"/>
    <w:embedRegular r:id="rId7" w:fontKey="{5620648F-1DAE-4BFF-B390-27B322F28675}"/>
  </w:font>
  <w:font w:name="方正小标宋_GBK">
    <w:panose1 w:val="02000000000000000000"/>
    <w:charset w:val="86"/>
    <w:family w:val="script"/>
    <w:pitch w:val="default"/>
    <w:sig w:usb0="A00002BF" w:usb1="38CF7CFA" w:usb2="00082016" w:usb3="00000000" w:csb0="00040001" w:csb1="00000000"/>
    <w:embedRegular r:id="rId8" w:fontKey="{98359231-C668-4050-9A87-32BCDD0EDBEE}"/>
  </w:font>
  <w:font w:name="微软雅黑">
    <w:panose1 w:val="020B0503020204020204"/>
    <w:charset w:val="86"/>
    <w:family w:val="swiss"/>
    <w:pitch w:val="default"/>
    <w:sig w:usb0="80000287" w:usb1="2ACF3C50" w:usb2="00000016" w:usb3="00000000" w:csb0="0004001F" w:csb1="00000000"/>
    <w:embedRegular r:id="rId9" w:fontKey="{AD4FE72B-442D-408A-BD56-8EF02E434C41}"/>
  </w:font>
  <w:font w:name="仿宋">
    <w:panose1 w:val="02010609060101010101"/>
    <w:charset w:val="86"/>
    <w:family w:val="modern"/>
    <w:pitch w:val="default"/>
    <w:sig w:usb0="800002BF" w:usb1="38CF7CFA" w:usb2="00000016" w:usb3="00000000" w:csb0="00040001" w:csb1="00000000"/>
    <w:embedRegular r:id="rId10" w:fontKey="{E17FC431-36B5-4E53-8FB1-9C3469AAAE72}"/>
  </w:font>
  <w:font w:name="WPSEMBED8">
    <w:panose1 w:val="02000000000000000000"/>
    <w:charset w:val="86"/>
    <w:family w:val="auto"/>
    <w:pitch w:val="default"/>
    <w:sig w:usb0="A00002BF" w:usb1="38CF7CFA" w:usb2="00082016" w:usb3="00000000" w:csb0="00040001"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2000000000000000000"/>
    <w:charset w:val="86"/>
    <w:family w:val="auto"/>
    <w:pitch w:val="default"/>
    <w:sig w:usb0="A00002BF" w:usb1="38CF7CFA" w:usb2="00082016" w:usb3="00000000" w:csb0="00040001" w:csb1="00000000"/>
  </w:font>
  <w:font w:name="WPSEMBED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4229B7"/>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2461A6"/>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9D666F"/>
    <w:rsid w:val="0AB36B90"/>
    <w:rsid w:val="0ACA6D38"/>
    <w:rsid w:val="0AD342F0"/>
    <w:rsid w:val="0ADB5CDD"/>
    <w:rsid w:val="0AF30554"/>
    <w:rsid w:val="0B097154"/>
    <w:rsid w:val="0B196157"/>
    <w:rsid w:val="0B2625DD"/>
    <w:rsid w:val="0B391AF4"/>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A93C7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4E54E9B"/>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4032FE"/>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6A39AF"/>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5C5965"/>
    <w:rsid w:val="2F8F3BF5"/>
    <w:rsid w:val="2FC763F8"/>
    <w:rsid w:val="2FD12EBD"/>
    <w:rsid w:val="2FD91648"/>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151DCD"/>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5829FA"/>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6D5C62"/>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3D83CC1"/>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8F44821"/>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5477F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9F4CF5"/>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C66DBA"/>
    <w:rsid w:val="73E24B69"/>
    <w:rsid w:val="74385FAF"/>
    <w:rsid w:val="74924FA6"/>
    <w:rsid w:val="74C774D2"/>
    <w:rsid w:val="74CF1C9F"/>
    <w:rsid w:val="75083F0D"/>
    <w:rsid w:val="75086ADE"/>
    <w:rsid w:val="75370412"/>
    <w:rsid w:val="754F1272"/>
    <w:rsid w:val="75661F23"/>
    <w:rsid w:val="758D672D"/>
    <w:rsid w:val="75C153E8"/>
    <w:rsid w:val="75F47C0F"/>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6D670B"/>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5E63ED"/>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6915</Words>
  <Characters>7388</Characters>
  <Lines>101</Lines>
  <Paragraphs>28</Paragraphs>
  <TotalTime>3</TotalTime>
  <ScaleCrop>false</ScaleCrop>
  <LinksUpToDate>false</LinksUpToDate>
  <CharactersWithSpaces>7496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2026-08-24T06:22:30Z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eyJoZGlkIjoiMzc1OGNlMDJlMzRlMzMzYmE1ZjU3MzU3ZjgyMjI5MWIiLCJ1c2VySWQiOiIxMjgyNDcwNjU2In0=</vt:lpwstr>
  </property>
</Properties>
</file>