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B9BA32">
      <w:pPr>
        <w:spacing w:after="240"/>
        <w:jc w:val="center"/>
      </w:pPr>
      <w:r>
        <w:rPr>
          <w:rFonts w:ascii="黑体" w:hAnsi="黑体" w:eastAsia="黑体"/>
          <w:b/>
          <w:sz w:val="36"/>
        </w:rPr>
        <w:t>重庆医科大学附属第二医院</w:t>
      </w:r>
    </w:p>
    <w:p w14:paraId="77EC69BF">
      <w:pPr>
        <w:keepNext w:val="0"/>
        <w:keepLines w:val="0"/>
        <w:pageBreakBefore w:val="0"/>
        <w:widowControl/>
        <w:kinsoku/>
        <w:wordWrap/>
        <w:overflowPunct/>
        <w:topLinePunct w:val="0"/>
        <w:autoSpaceDE/>
        <w:autoSpaceDN/>
        <w:bidi w:val="0"/>
        <w:adjustRightInd/>
        <w:snapToGrid/>
        <w:spacing w:after="240" w:line="360" w:lineRule="auto"/>
        <w:ind w:firstLine="0" w:firstLineChars="0"/>
        <w:jc w:val="center"/>
        <w:textAlignment w:val="auto"/>
        <w:rPr>
          <w:rFonts w:hint="eastAsia" w:ascii="黑体" w:hAnsi="黑体" w:eastAsia="黑体"/>
          <w:b/>
          <w:kern w:val="0"/>
          <w:sz w:val="36"/>
          <w:szCs w:val="22"/>
          <w:lang w:eastAsia="zh-CN"/>
        </w:rPr>
      </w:pPr>
      <w:r>
        <w:rPr>
          <w:rFonts w:hint="eastAsia" w:ascii="黑体" w:hAnsi="黑体" w:eastAsia="黑体"/>
          <w:b/>
          <w:kern w:val="0"/>
          <w:sz w:val="36"/>
          <w:szCs w:val="22"/>
          <w:lang w:eastAsia="zh-CN"/>
        </w:rPr>
        <w:t>科研管理系统功能</w:t>
      </w:r>
      <w:r>
        <w:rPr>
          <w:rFonts w:hint="eastAsia" w:ascii="黑体" w:hAnsi="黑体" w:eastAsia="黑体"/>
          <w:b/>
          <w:kern w:val="0"/>
          <w:sz w:val="36"/>
          <w:szCs w:val="22"/>
          <w:lang w:val="en-US" w:eastAsia="zh-CN"/>
        </w:rPr>
        <w:t>需求</w:t>
      </w:r>
    </w:p>
    <w:p w14:paraId="7BEE35D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随着医院科研活动持续拓展、资源投入不断增加，成果登记、项目跟踪、资源调配等环节对精细化管理的需求日益提升</w:t>
      </w:r>
      <w:r>
        <w:rPr>
          <w:rFonts w:hint="eastAsia" w:ascii="宋体" w:hAnsi="宋体" w:eastAsia="宋体" w:cs="宋体"/>
          <w:b w:val="0"/>
          <w:bCs w:val="0"/>
          <w:color w:val="auto"/>
          <w:sz w:val="24"/>
          <w:szCs w:val="24"/>
          <w:lang w:eastAsia="zh-CN"/>
        </w:rPr>
        <w:t>，我院拟建设科研管理系统，覆盖科研成果管理、实验室管理、实验动物管理、试剂耗材采购、样本库管理及设备共享等核心业务，实现科研活动全流程信息化管理与数据互联互通，全面提升科研管理效率与规范化水平。现面向厂商开展阳光推介调研，了解当前技术能力、行业实践及合理价格水平</w:t>
      </w:r>
      <w:r>
        <w:rPr>
          <w:rFonts w:hint="eastAsia" w:ascii="宋体" w:hAnsi="宋体" w:eastAsia="宋体" w:cs="宋体"/>
          <w:b w:val="0"/>
          <w:bCs w:val="0"/>
          <w:color w:val="auto"/>
          <w:sz w:val="24"/>
          <w:szCs w:val="24"/>
          <w:lang w:val="en-US" w:eastAsia="zh-CN"/>
        </w:rPr>
        <w:t>等</w:t>
      </w:r>
      <w:r>
        <w:rPr>
          <w:rFonts w:hint="eastAsia" w:ascii="宋体" w:hAnsi="宋体" w:eastAsia="宋体" w:cs="宋体"/>
          <w:b w:val="0"/>
          <w:bCs w:val="0"/>
          <w:color w:val="auto"/>
          <w:sz w:val="24"/>
          <w:szCs w:val="24"/>
          <w:lang w:eastAsia="zh-CN"/>
        </w:rPr>
        <w:t>，为后续采购工作提供参考依据。平台功能需求如下：</w:t>
      </w:r>
    </w:p>
    <w:p w14:paraId="19C5C451">
      <w:pPr>
        <w:widowControl/>
        <w:spacing w:before="160" w:after="80" w:line="276" w:lineRule="auto"/>
        <w:jc w:val="left"/>
        <w:rPr>
          <w:rFonts w:hint="eastAsia" w:ascii="黑体" w:hAnsi="黑体" w:eastAsia="黑体"/>
          <w:b/>
          <w:kern w:val="0"/>
          <w:sz w:val="24"/>
          <w:szCs w:val="24"/>
          <w:lang w:val="en-US" w:eastAsia="zh-CN"/>
        </w:rPr>
      </w:pPr>
      <w:r>
        <w:rPr>
          <w:rFonts w:hint="eastAsia" w:ascii="黑体" w:hAnsi="黑体" w:eastAsia="黑体"/>
          <w:b/>
          <w:kern w:val="0"/>
          <w:sz w:val="24"/>
          <w:szCs w:val="24"/>
          <w:lang w:val="en-US" w:eastAsia="zh-CN"/>
        </w:rPr>
        <w:t>一、系统权限</w:t>
      </w:r>
    </w:p>
    <w:p w14:paraId="161DAE56">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lang w:eastAsia="zh-CN"/>
        </w:rPr>
        <w:t>系统具备权限层级架构授权管理，具体根据单位用户人员组成架构而定，可以根据需求设置各层级权限范围，如系统功能模板权限，各管理员业务权限等，确保系统数据和个人隐私安全。</w:t>
      </w:r>
    </w:p>
    <w:p w14:paraId="24460919">
      <w:pPr>
        <w:widowControl/>
        <w:spacing w:before="160" w:after="80" w:line="276" w:lineRule="auto"/>
        <w:jc w:val="left"/>
        <w:rPr>
          <w:rFonts w:hint="eastAsia" w:ascii="黑体" w:hAnsi="黑体" w:eastAsia="黑体"/>
          <w:b/>
          <w:kern w:val="0"/>
          <w:sz w:val="24"/>
          <w:szCs w:val="24"/>
          <w:lang w:val="en-US" w:eastAsia="zh-CN"/>
        </w:rPr>
      </w:pPr>
      <w:r>
        <w:rPr>
          <w:rFonts w:hint="eastAsia" w:ascii="黑体" w:hAnsi="黑体" w:eastAsia="黑体"/>
          <w:b/>
          <w:kern w:val="0"/>
          <w:sz w:val="24"/>
          <w:szCs w:val="24"/>
          <w:lang w:val="en-US" w:eastAsia="zh-CN"/>
        </w:rPr>
        <w:t>二、成果登记</w:t>
      </w:r>
    </w:p>
    <w:p w14:paraId="3EDDC2CB">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Segoe UI" w:hAnsi="Segoe UI" w:eastAsia="Segoe UI" w:cs="Segoe UI"/>
          <w:i w:val="0"/>
          <w:iCs w:val="0"/>
          <w:caps w:val="0"/>
          <w:color w:val="0F1115"/>
          <w:spacing w:val="0"/>
          <w:sz w:val="24"/>
          <w:szCs w:val="24"/>
          <w:shd w:val="clear" w:fill="FFFFFF"/>
        </w:rPr>
      </w:pPr>
      <w:r>
        <w:rPr>
          <w:rFonts w:hint="eastAsia" w:ascii="宋体" w:hAnsi="宋体" w:eastAsia="宋体" w:cs="宋体"/>
          <w:b w:val="0"/>
          <w:bCs w:val="0"/>
          <w:color w:val="auto"/>
          <w:sz w:val="24"/>
          <w:szCs w:val="24"/>
          <w:lang w:val="en-US" w:eastAsia="zh-CN"/>
        </w:rPr>
        <w:t>支持</w:t>
      </w:r>
      <w:r>
        <w:rPr>
          <w:rFonts w:hint="eastAsia" w:ascii="宋体" w:hAnsi="宋体" w:eastAsia="宋体" w:cs="宋体"/>
          <w:b w:val="0"/>
          <w:bCs w:val="0"/>
          <w:color w:val="auto"/>
          <w:sz w:val="24"/>
          <w:szCs w:val="24"/>
          <w:lang w:eastAsia="zh-CN"/>
        </w:rPr>
        <w:t>论文、奖励、专著、专利、标准、临床指南与专家共识、项目等</w:t>
      </w:r>
      <w:r>
        <w:rPr>
          <w:rFonts w:hint="eastAsia" w:ascii="宋体" w:hAnsi="宋体" w:eastAsia="宋体" w:cs="宋体"/>
          <w:b w:val="0"/>
          <w:bCs w:val="0"/>
          <w:color w:val="auto"/>
          <w:sz w:val="24"/>
          <w:szCs w:val="24"/>
          <w:lang w:val="en-US" w:eastAsia="zh-CN"/>
        </w:rPr>
        <w:t>多类型成果统一管理</w:t>
      </w:r>
      <w:r>
        <w:rPr>
          <w:rFonts w:ascii="Segoe UI" w:hAnsi="Segoe UI" w:eastAsia="Segoe UI" w:cs="Segoe UI"/>
          <w:i w:val="0"/>
          <w:iCs w:val="0"/>
          <w:caps w:val="0"/>
          <w:color w:val="0F1115"/>
          <w:spacing w:val="0"/>
          <w:sz w:val="24"/>
          <w:szCs w:val="24"/>
          <w:shd w:val="clear" w:fill="FFFFFF"/>
        </w:rPr>
        <w:t>，并允许管理员动态扩展成果类别。</w:t>
      </w:r>
      <w:r>
        <w:rPr>
          <w:rFonts w:hint="eastAsia" w:ascii="Segoe UI" w:hAnsi="Segoe UI" w:eastAsia="Segoe UI" w:cs="Segoe UI"/>
          <w:i w:val="0"/>
          <w:iCs w:val="0"/>
          <w:caps w:val="0"/>
          <w:color w:val="0F1115"/>
          <w:spacing w:val="0"/>
          <w:sz w:val="24"/>
          <w:szCs w:val="24"/>
          <w:shd w:val="clear" w:fill="FFFFFF"/>
        </w:rPr>
        <w:t>应提供成果列表展示、新增登记、详情查看、检索筛选、字段自定义排序与导出等基础功能，同时配套奖励信息、审批流程、附件上传、单据状态及业绩清单等辅助能力。</w:t>
      </w:r>
    </w:p>
    <w:p w14:paraId="673F8EB4">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eastAsia="zh-CN"/>
        </w:rPr>
      </w:pPr>
      <w:r>
        <w:rPr>
          <w:rFonts w:ascii="Segoe UI" w:hAnsi="Segoe UI" w:eastAsia="Segoe UI" w:cs="Segoe UI"/>
          <w:i w:val="0"/>
          <w:iCs w:val="0"/>
          <w:caps w:val="0"/>
          <w:color w:val="0F1115"/>
          <w:spacing w:val="0"/>
          <w:sz w:val="24"/>
          <w:szCs w:val="24"/>
          <w:shd w:val="clear" w:fill="FFFFFF"/>
        </w:rPr>
        <w:t>新增成果时，作者信息需区分院内/院外人员，院内人员支持工号检索自动填充，院外人员手动填写；作者角色、署名单位归属、主要负责人标识、署名顺序、所在科室及人才类型等字段均可按需配置。所有操作均支持保存、提交、审核、废除及打印等全流程管理，确保成果登记与审批跟踪一体化。</w:t>
      </w:r>
    </w:p>
    <w:p w14:paraId="77AF039C">
      <w:pPr>
        <w:widowControl/>
        <w:spacing w:before="160" w:after="80" w:line="276" w:lineRule="auto"/>
        <w:jc w:val="left"/>
        <w:rPr>
          <w:rFonts w:hint="eastAsia" w:ascii="黑体" w:hAnsi="黑体" w:eastAsia="黑体"/>
          <w:b/>
          <w:kern w:val="0"/>
          <w:sz w:val="24"/>
          <w:szCs w:val="24"/>
          <w:lang w:val="en-US" w:eastAsia="zh-CN"/>
        </w:rPr>
      </w:pPr>
      <w:r>
        <w:rPr>
          <w:rFonts w:hint="eastAsia" w:ascii="黑体" w:hAnsi="黑体" w:eastAsia="黑体"/>
          <w:b/>
          <w:kern w:val="0"/>
          <w:sz w:val="24"/>
          <w:szCs w:val="24"/>
          <w:lang w:val="en-US" w:eastAsia="zh-CN"/>
        </w:rPr>
        <w:t>三、各类成果统计报表</w:t>
      </w:r>
    </w:p>
    <w:p w14:paraId="3ABE3667">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default"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1.支持</w:t>
      </w:r>
      <w:r>
        <w:rPr>
          <w:rFonts w:hint="default" w:ascii="宋体" w:hAnsi="宋体" w:eastAsia="宋体" w:cs="宋体"/>
          <w:b w:val="0"/>
          <w:bCs w:val="0"/>
          <w:color w:val="auto"/>
          <w:sz w:val="24"/>
          <w:szCs w:val="24"/>
          <w:lang w:val="en-US" w:eastAsia="zh-CN"/>
        </w:rPr>
        <w:t>多维度成果统计报表，包括按参与人汇总的明细表（每个成果对应多位作者，展示角色、排序及状态）和按成果汇总的统计表（展示成果信息、完成人角色、我院作者及配套信息）；</w:t>
      </w:r>
    </w:p>
    <w:p w14:paraId="07736C7A">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default"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2.</w:t>
      </w:r>
      <w:r>
        <w:rPr>
          <w:rFonts w:hint="default" w:ascii="宋体" w:hAnsi="宋体" w:eastAsia="宋体" w:cs="宋体"/>
          <w:b w:val="0"/>
          <w:bCs w:val="0"/>
          <w:color w:val="auto"/>
          <w:sz w:val="24"/>
          <w:szCs w:val="24"/>
          <w:lang w:val="en-US" w:eastAsia="zh-CN"/>
        </w:rPr>
        <w:t>支持实时生成柱状图、折线图、饼图等统计图表；</w:t>
      </w:r>
    </w:p>
    <w:p w14:paraId="4731A323">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3.</w:t>
      </w:r>
      <w:r>
        <w:rPr>
          <w:rFonts w:hint="default" w:ascii="宋体" w:hAnsi="宋体" w:eastAsia="宋体" w:cs="宋体"/>
          <w:b w:val="0"/>
          <w:bCs w:val="0"/>
          <w:color w:val="auto"/>
          <w:sz w:val="24"/>
          <w:szCs w:val="24"/>
          <w:lang w:val="en-US" w:eastAsia="zh-CN"/>
        </w:rPr>
        <w:t>针对高水平成果，可生成配套科研经费汇总表，并设置到期预警，自动提醒经费负责人</w:t>
      </w:r>
      <w:r>
        <w:rPr>
          <w:rFonts w:hint="eastAsia" w:ascii="宋体" w:hAnsi="宋体" w:eastAsia="宋体" w:cs="宋体"/>
          <w:b w:val="0"/>
          <w:bCs w:val="0"/>
          <w:color w:val="auto"/>
          <w:sz w:val="24"/>
          <w:szCs w:val="24"/>
          <w:lang w:val="en-US" w:eastAsia="zh-CN"/>
        </w:rPr>
        <w:t>；</w:t>
      </w:r>
    </w:p>
    <w:p w14:paraId="2EE58BE6">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4.支持</w:t>
      </w:r>
      <w:r>
        <w:rPr>
          <w:rFonts w:hint="default" w:ascii="宋体" w:hAnsi="宋体" w:eastAsia="宋体" w:cs="宋体"/>
          <w:b w:val="0"/>
          <w:bCs w:val="0"/>
          <w:color w:val="auto"/>
          <w:sz w:val="24"/>
          <w:szCs w:val="24"/>
          <w:lang w:val="en-US" w:eastAsia="zh-CN"/>
        </w:rPr>
        <w:t>用户从成果列表中勾选数据生成带水印的个人业绩清单，支持预览、下载、打印，清单字段可自定义配置。</w:t>
      </w:r>
    </w:p>
    <w:p w14:paraId="4165B0CC">
      <w:pPr>
        <w:widowControl/>
        <w:spacing w:before="160" w:after="80" w:line="276" w:lineRule="auto"/>
        <w:jc w:val="left"/>
        <w:rPr>
          <w:rFonts w:hint="eastAsia" w:ascii="黑体" w:hAnsi="黑体" w:eastAsia="黑体"/>
          <w:b/>
          <w:kern w:val="0"/>
          <w:sz w:val="24"/>
          <w:szCs w:val="24"/>
          <w:lang w:val="en-US" w:eastAsia="zh-CN"/>
        </w:rPr>
      </w:pPr>
      <w:r>
        <w:rPr>
          <w:rFonts w:hint="eastAsia" w:ascii="黑体" w:hAnsi="黑体" w:eastAsia="黑体"/>
          <w:b/>
          <w:kern w:val="0"/>
          <w:sz w:val="24"/>
          <w:szCs w:val="24"/>
          <w:lang w:val="en-US" w:eastAsia="zh-CN"/>
        </w:rPr>
        <w:t>四、论文投稿登记</w:t>
      </w:r>
    </w:p>
    <w:p w14:paraId="47ADACA2">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能整合获取院内论文投稿登记系统的历史数据，并至少实现以下功能：</w:t>
      </w:r>
    </w:p>
    <w:p w14:paraId="0DEF9D0A">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default" w:ascii="宋体" w:hAnsi="宋体" w:eastAsia="宋体" w:cs="宋体"/>
          <w:b w:val="0"/>
          <w:bCs w:val="0"/>
          <w:color w:val="auto"/>
          <w:sz w:val="24"/>
          <w:szCs w:val="24"/>
          <w:lang w:val="en-US" w:eastAsia="zh-CN"/>
        </w:rPr>
      </w:pPr>
      <w:r>
        <w:rPr>
          <w:rFonts w:hint="default" w:ascii="宋体" w:hAnsi="宋体" w:eastAsia="宋体" w:cs="宋体"/>
          <w:b w:val="0"/>
          <w:bCs w:val="0"/>
          <w:color w:val="auto"/>
          <w:sz w:val="24"/>
          <w:szCs w:val="24"/>
          <w:lang w:val="en-US" w:eastAsia="zh-CN"/>
        </w:rPr>
        <w:t>1.</w:t>
      </w:r>
      <w:r>
        <w:rPr>
          <w:rFonts w:hint="eastAsia" w:ascii="宋体" w:hAnsi="宋体" w:eastAsia="宋体" w:cs="宋体"/>
          <w:b w:val="0"/>
          <w:bCs w:val="0"/>
          <w:color w:val="auto"/>
          <w:sz w:val="24"/>
          <w:szCs w:val="24"/>
          <w:lang w:val="en-US" w:eastAsia="zh-CN"/>
        </w:rPr>
        <w:t>可根据</w:t>
      </w:r>
      <w:r>
        <w:rPr>
          <w:rFonts w:hint="default" w:ascii="宋体" w:hAnsi="宋体" w:eastAsia="宋体" w:cs="宋体"/>
          <w:b w:val="0"/>
          <w:bCs w:val="0"/>
          <w:color w:val="auto"/>
          <w:sz w:val="24"/>
          <w:szCs w:val="24"/>
          <w:lang w:val="en-US" w:eastAsia="zh-CN"/>
        </w:rPr>
        <w:t>需求设置登记字段，论文投稿登记数据库</w:t>
      </w:r>
      <w:r>
        <w:rPr>
          <w:rFonts w:hint="eastAsia" w:ascii="宋体" w:hAnsi="宋体" w:eastAsia="宋体" w:cs="宋体"/>
          <w:b w:val="0"/>
          <w:bCs w:val="0"/>
          <w:color w:val="auto"/>
          <w:sz w:val="24"/>
          <w:szCs w:val="24"/>
          <w:lang w:val="en-US" w:eastAsia="zh-CN"/>
        </w:rPr>
        <w:t>（中信所预警数</w:t>
      </w:r>
      <w:bookmarkStart w:id="0" w:name="_GoBack"/>
      <w:bookmarkEnd w:id="0"/>
      <w:r>
        <w:rPr>
          <w:rFonts w:hint="eastAsia" w:ascii="宋体" w:hAnsi="宋体" w:eastAsia="宋体" w:cs="宋体"/>
          <w:b w:val="0"/>
          <w:bCs w:val="0"/>
          <w:color w:val="auto"/>
          <w:sz w:val="24"/>
          <w:szCs w:val="24"/>
          <w:lang w:val="en-US" w:eastAsia="zh-CN"/>
        </w:rPr>
        <w:t>据、自然指数期刊等数据）</w:t>
      </w:r>
      <w:r>
        <w:rPr>
          <w:rFonts w:hint="default" w:ascii="宋体" w:hAnsi="宋体" w:eastAsia="宋体" w:cs="宋体"/>
          <w:b w:val="0"/>
          <w:bCs w:val="0"/>
          <w:color w:val="auto"/>
          <w:sz w:val="24"/>
          <w:szCs w:val="24"/>
          <w:lang w:val="en-US" w:eastAsia="zh-CN"/>
        </w:rPr>
        <w:t>可以根据用户需求进行数据更新。</w:t>
      </w:r>
    </w:p>
    <w:p w14:paraId="183DD829">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default" w:ascii="宋体" w:hAnsi="宋体" w:eastAsia="宋体" w:cs="宋体"/>
          <w:b w:val="0"/>
          <w:bCs w:val="0"/>
          <w:color w:val="auto"/>
          <w:sz w:val="24"/>
          <w:szCs w:val="24"/>
          <w:lang w:val="en-US" w:eastAsia="zh-CN"/>
        </w:rPr>
      </w:pPr>
      <w:r>
        <w:rPr>
          <w:rFonts w:hint="default" w:ascii="宋体" w:hAnsi="宋体" w:eastAsia="宋体" w:cs="宋体"/>
          <w:b w:val="0"/>
          <w:bCs w:val="0"/>
          <w:color w:val="auto"/>
          <w:sz w:val="24"/>
          <w:szCs w:val="24"/>
          <w:lang w:val="en-US" w:eastAsia="zh-CN"/>
        </w:rPr>
        <w:t>2.根据登记论文信息识别期刊是否预警及具体预警信息、自然指数情况、中信所分区等内容。</w:t>
      </w:r>
    </w:p>
    <w:p w14:paraId="111D394C">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default" w:ascii="宋体" w:hAnsi="宋体" w:eastAsia="宋体" w:cs="宋体"/>
          <w:b w:val="0"/>
          <w:bCs w:val="0"/>
          <w:color w:val="auto"/>
          <w:sz w:val="24"/>
          <w:szCs w:val="24"/>
          <w:lang w:val="en-US" w:eastAsia="zh-CN"/>
        </w:rPr>
      </w:pPr>
      <w:r>
        <w:rPr>
          <w:rFonts w:hint="default" w:ascii="宋体" w:hAnsi="宋体" w:eastAsia="宋体" w:cs="宋体"/>
          <w:b w:val="0"/>
          <w:bCs w:val="0"/>
          <w:color w:val="auto"/>
          <w:sz w:val="24"/>
          <w:szCs w:val="24"/>
          <w:lang w:val="en-US" w:eastAsia="zh-CN"/>
        </w:rPr>
        <w:t>3.审核通过后能自动归档并将论文登记证明以文本形式自动发送登记邮箱，归档内容可以形成数据列表、数据列表具备检索查询、筛选、下载等功能。</w:t>
      </w:r>
    </w:p>
    <w:p w14:paraId="58A873F9">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lang w:val="en-US" w:eastAsia="zh-CN"/>
        </w:rPr>
        <w:t>4.</w:t>
      </w:r>
      <w:r>
        <w:rPr>
          <w:rFonts w:hint="eastAsia" w:ascii="宋体" w:hAnsi="宋体" w:eastAsia="宋体" w:cs="宋体"/>
          <w:b w:val="0"/>
          <w:bCs w:val="0"/>
          <w:color w:val="auto"/>
          <w:sz w:val="24"/>
          <w:szCs w:val="24"/>
          <w:highlight w:val="none"/>
          <w:lang w:val="en-US" w:eastAsia="zh-CN"/>
        </w:rPr>
        <w:t>论文投稿登记统计功能：能统计论文投稿期刊预警情况、登记数量等，生成相关数据图表。</w:t>
      </w:r>
    </w:p>
    <w:p w14:paraId="2D8BDE76">
      <w:pPr>
        <w:widowControl/>
        <w:spacing w:before="160" w:after="80" w:line="276" w:lineRule="auto"/>
        <w:jc w:val="left"/>
        <w:rPr>
          <w:rFonts w:hint="eastAsia" w:ascii="黑体" w:hAnsi="黑体" w:eastAsia="黑体"/>
          <w:b/>
          <w:kern w:val="0"/>
          <w:sz w:val="24"/>
          <w:szCs w:val="24"/>
          <w:lang w:val="en-US" w:eastAsia="zh-CN"/>
        </w:rPr>
      </w:pPr>
      <w:r>
        <w:rPr>
          <w:rFonts w:hint="eastAsia" w:ascii="黑体" w:hAnsi="黑体" w:eastAsia="黑体"/>
          <w:b/>
          <w:kern w:val="0"/>
          <w:sz w:val="24"/>
          <w:szCs w:val="24"/>
          <w:lang w:val="en-US" w:eastAsia="zh-CN"/>
        </w:rPr>
        <w:t>五、</w:t>
      </w:r>
      <w:r>
        <w:rPr>
          <w:rFonts w:hint="default" w:ascii="黑体" w:hAnsi="黑体" w:eastAsia="黑体"/>
          <w:b/>
          <w:kern w:val="0"/>
          <w:sz w:val="24"/>
          <w:szCs w:val="24"/>
          <w:lang w:val="en-US" w:eastAsia="zh-CN"/>
        </w:rPr>
        <w:t>实验室管理</w:t>
      </w:r>
    </w:p>
    <w:p w14:paraId="3077BEE6">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w:t>
      </w:r>
      <w:r>
        <w:rPr>
          <w:rFonts w:hint="default" w:ascii="宋体" w:hAnsi="宋体" w:eastAsia="宋体" w:cs="宋体"/>
          <w:b w:val="0"/>
          <w:bCs w:val="0"/>
          <w:color w:val="auto"/>
          <w:sz w:val="24"/>
          <w:szCs w:val="24"/>
          <w:lang w:val="en-US" w:eastAsia="zh-CN"/>
        </w:rPr>
        <w:t>实验室管理</w:t>
      </w:r>
      <w:r>
        <w:rPr>
          <w:rFonts w:hint="eastAsia" w:ascii="宋体" w:hAnsi="宋体" w:eastAsia="宋体" w:cs="宋体"/>
          <w:b w:val="0"/>
          <w:bCs w:val="0"/>
          <w:color w:val="auto"/>
          <w:sz w:val="24"/>
          <w:szCs w:val="24"/>
          <w:lang w:val="en-US" w:eastAsia="zh-CN"/>
        </w:rPr>
        <w:t>查询展示信息至少包括实验室基础信息、负责人、级别、立项年度、生物安全等级等；</w:t>
      </w:r>
    </w:p>
    <w:p w14:paraId="42C1C0AB">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2.支持对实验室进行年度考核；</w:t>
      </w:r>
    </w:p>
    <w:p w14:paraId="43AFCAA9">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3实验室人员管理可关联人员及其科研业绩等信息。</w:t>
      </w:r>
    </w:p>
    <w:p w14:paraId="21CE3289">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sz w:val="24"/>
          <w:szCs w:val="24"/>
          <w:highlight w:val="yellow"/>
          <w:lang w:val="en-US" w:eastAsia="zh-CN"/>
        </w:rPr>
      </w:pPr>
      <w:r>
        <w:rPr>
          <w:rFonts w:hint="eastAsia" w:ascii="宋体" w:hAnsi="宋体" w:eastAsia="宋体" w:cs="宋体"/>
          <w:b w:val="0"/>
          <w:bCs w:val="0"/>
          <w:color w:val="auto"/>
          <w:sz w:val="24"/>
          <w:szCs w:val="24"/>
          <w:highlight w:val="none"/>
          <w:lang w:val="en-US" w:eastAsia="zh-CN"/>
        </w:rPr>
        <w:t>4.支持管理部门、实验室管理员对实验室信息进行维护。</w:t>
      </w:r>
    </w:p>
    <w:p w14:paraId="306DB7B3">
      <w:pPr>
        <w:widowControl/>
        <w:spacing w:before="160" w:after="80" w:line="276" w:lineRule="auto"/>
        <w:jc w:val="left"/>
        <w:rPr>
          <w:rFonts w:hint="eastAsia" w:ascii="黑体" w:hAnsi="黑体" w:eastAsia="黑体"/>
          <w:b/>
          <w:kern w:val="0"/>
          <w:sz w:val="24"/>
          <w:szCs w:val="24"/>
          <w:lang w:val="en-US" w:eastAsia="zh-CN"/>
        </w:rPr>
      </w:pPr>
      <w:r>
        <w:rPr>
          <w:rFonts w:hint="eastAsia" w:ascii="黑体" w:hAnsi="黑体" w:eastAsia="黑体"/>
          <w:b/>
          <w:kern w:val="0"/>
          <w:sz w:val="24"/>
          <w:szCs w:val="24"/>
          <w:lang w:val="en-US" w:eastAsia="zh-CN"/>
        </w:rPr>
        <w:t>六、实验动物管理</w:t>
      </w:r>
    </w:p>
    <w:p w14:paraId="54E376DA">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default"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用于管理实验动物中心，如</w:t>
      </w:r>
      <w:r>
        <w:rPr>
          <w:rFonts w:hint="default" w:ascii="宋体" w:hAnsi="宋体" w:eastAsia="宋体" w:cs="宋体"/>
          <w:b w:val="0"/>
          <w:bCs w:val="0"/>
          <w:color w:val="auto"/>
          <w:sz w:val="24"/>
          <w:szCs w:val="24"/>
          <w:lang w:val="en-US" w:eastAsia="zh-CN"/>
        </w:rPr>
        <w:t>笼位管理</w:t>
      </w:r>
      <w:r>
        <w:rPr>
          <w:rFonts w:hint="eastAsia" w:ascii="宋体" w:hAnsi="宋体" w:eastAsia="宋体" w:cs="宋体"/>
          <w:b w:val="0"/>
          <w:bCs w:val="0"/>
          <w:color w:val="auto"/>
          <w:sz w:val="24"/>
          <w:szCs w:val="24"/>
          <w:lang w:val="en-US" w:eastAsia="zh-CN"/>
        </w:rPr>
        <w:t>、</w:t>
      </w:r>
      <w:r>
        <w:rPr>
          <w:rFonts w:hint="default" w:ascii="宋体" w:hAnsi="宋体" w:eastAsia="宋体" w:cs="宋体"/>
          <w:b w:val="0"/>
          <w:bCs w:val="0"/>
          <w:color w:val="auto"/>
          <w:sz w:val="24"/>
          <w:szCs w:val="24"/>
          <w:lang w:val="en-US" w:eastAsia="zh-CN"/>
        </w:rPr>
        <w:t>经费结算管理</w:t>
      </w:r>
      <w:r>
        <w:rPr>
          <w:rFonts w:hint="eastAsia" w:ascii="宋体" w:hAnsi="宋体" w:eastAsia="宋体" w:cs="宋体"/>
          <w:b w:val="0"/>
          <w:bCs w:val="0"/>
          <w:color w:val="auto"/>
          <w:sz w:val="24"/>
          <w:szCs w:val="24"/>
          <w:lang w:val="en-US" w:eastAsia="zh-CN"/>
        </w:rPr>
        <w:t>、</w:t>
      </w:r>
      <w:r>
        <w:rPr>
          <w:rFonts w:hint="default" w:ascii="宋体" w:hAnsi="宋体" w:eastAsia="宋体" w:cs="宋体"/>
          <w:b w:val="0"/>
          <w:bCs w:val="0"/>
          <w:color w:val="auto"/>
          <w:sz w:val="24"/>
          <w:szCs w:val="24"/>
          <w:lang w:val="en-US" w:eastAsia="zh-CN"/>
        </w:rPr>
        <w:t>预约管理</w:t>
      </w:r>
      <w:r>
        <w:rPr>
          <w:rFonts w:hint="eastAsia" w:ascii="宋体" w:hAnsi="宋体" w:eastAsia="宋体" w:cs="宋体"/>
          <w:b w:val="0"/>
          <w:bCs w:val="0"/>
          <w:color w:val="auto"/>
          <w:sz w:val="24"/>
          <w:szCs w:val="24"/>
          <w:lang w:val="en-US" w:eastAsia="zh-CN"/>
        </w:rPr>
        <w:t>、</w:t>
      </w:r>
      <w:r>
        <w:rPr>
          <w:rFonts w:hint="default" w:ascii="宋体" w:hAnsi="宋体" w:eastAsia="宋体" w:cs="宋体"/>
          <w:b w:val="0"/>
          <w:bCs w:val="0"/>
          <w:color w:val="auto"/>
          <w:sz w:val="24"/>
          <w:szCs w:val="24"/>
          <w:lang w:val="en-US" w:eastAsia="zh-CN"/>
        </w:rPr>
        <w:t>动物伦理审查等</w:t>
      </w:r>
      <w:r>
        <w:rPr>
          <w:rFonts w:hint="eastAsia" w:ascii="宋体" w:hAnsi="宋体" w:eastAsia="宋体" w:cs="宋体"/>
          <w:b w:val="0"/>
          <w:bCs w:val="0"/>
          <w:color w:val="auto"/>
          <w:sz w:val="24"/>
          <w:szCs w:val="24"/>
          <w:lang w:val="en-US" w:eastAsia="zh-CN"/>
        </w:rPr>
        <w:t>。</w:t>
      </w:r>
    </w:p>
    <w:p w14:paraId="543E9AD1">
      <w:pPr>
        <w:widowControl/>
        <w:spacing w:before="160" w:after="80" w:line="276" w:lineRule="auto"/>
        <w:jc w:val="left"/>
        <w:rPr>
          <w:rFonts w:hint="eastAsia" w:ascii="黑体" w:hAnsi="黑体" w:eastAsia="黑体"/>
          <w:b/>
          <w:kern w:val="0"/>
          <w:sz w:val="24"/>
          <w:szCs w:val="24"/>
          <w:lang w:val="en-US" w:eastAsia="zh-CN"/>
        </w:rPr>
      </w:pPr>
      <w:r>
        <w:rPr>
          <w:rFonts w:hint="eastAsia" w:ascii="黑体" w:hAnsi="黑体" w:eastAsia="黑体"/>
          <w:b/>
          <w:kern w:val="0"/>
          <w:sz w:val="24"/>
          <w:szCs w:val="24"/>
          <w:lang w:val="en-US" w:eastAsia="zh-CN"/>
        </w:rPr>
        <w:t>七、科研试剂耗材管理</w:t>
      </w:r>
    </w:p>
    <w:p w14:paraId="25950B16">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支持</w:t>
      </w:r>
      <w:r>
        <w:rPr>
          <w:rFonts w:hint="default" w:ascii="宋体" w:hAnsi="宋体" w:eastAsia="宋体" w:cs="宋体"/>
          <w:b w:val="0"/>
          <w:bCs w:val="0"/>
          <w:color w:val="auto"/>
          <w:sz w:val="24"/>
          <w:szCs w:val="24"/>
          <w:lang w:val="en-US" w:eastAsia="zh-CN"/>
        </w:rPr>
        <w:t>全员科研试剂耗材的采购报销相关流程</w:t>
      </w:r>
      <w:r>
        <w:rPr>
          <w:rFonts w:hint="eastAsia" w:ascii="宋体" w:hAnsi="宋体" w:eastAsia="宋体" w:cs="宋体"/>
          <w:b w:val="0"/>
          <w:bCs w:val="0"/>
          <w:color w:val="auto"/>
          <w:sz w:val="24"/>
          <w:szCs w:val="24"/>
          <w:lang w:val="en-US" w:eastAsia="zh-CN"/>
        </w:rPr>
        <w:t>，支持对接第三方系统，并支持对接数据并展开相应的分析。</w:t>
      </w:r>
    </w:p>
    <w:p w14:paraId="2AF71D78">
      <w:pPr>
        <w:widowControl/>
        <w:spacing w:before="160" w:after="80" w:line="276" w:lineRule="auto"/>
        <w:jc w:val="left"/>
        <w:rPr>
          <w:rFonts w:hint="eastAsia" w:ascii="黑体" w:hAnsi="黑体" w:eastAsia="黑体"/>
          <w:b/>
          <w:kern w:val="0"/>
          <w:sz w:val="24"/>
          <w:szCs w:val="24"/>
          <w:lang w:val="en-US" w:eastAsia="zh-CN"/>
        </w:rPr>
      </w:pPr>
      <w:r>
        <w:rPr>
          <w:rFonts w:hint="eastAsia" w:ascii="黑体" w:hAnsi="黑体" w:eastAsia="黑体"/>
          <w:b/>
          <w:kern w:val="0"/>
          <w:sz w:val="24"/>
          <w:szCs w:val="24"/>
          <w:lang w:val="en-US" w:eastAsia="zh-CN"/>
        </w:rPr>
        <w:t>八、样本库管理</w:t>
      </w:r>
    </w:p>
    <w:p w14:paraId="0937AD03">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sz w:val="24"/>
          <w:szCs w:val="24"/>
          <w:lang w:val="en-US" w:eastAsia="zh-CN"/>
        </w:rPr>
      </w:pPr>
      <w:r>
        <w:rPr>
          <w:rFonts w:hint="default" w:ascii="宋体" w:hAnsi="宋体" w:eastAsia="宋体" w:cs="宋体"/>
          <w:b w:val="0"/>
          <w:bCs w:val="0"/>
          <w:color w:val="auto"/>
          <w:sz w:val="24"/>
          <w:szCs w:val="24"/>
          <w:lang w:val="en-US" w:eastAsia="zh-CN"/>
        </w:rPr>
        <w:t>根据用户需求定制</w:t>
      </w:r>
      <w:r>
        <w:rPr>
          <w:rFonts w:hint="eastAsia" w:ascii="宋体" w:hAnsi="宋体" w:eastAsia="宋体" w:cs="宋体"/>
          <w:b w:val="0"/>
          <w:bCs w:val="0"/>
          <w:color w:val="auto"/>
          <w:sz w:val="24"/>
          <w:szCs w:val="24"/>
          <w:lang w:val="en-US" w:eastAsia="zh-CN"/>
        </w:rPr>
        <w:t>，对接现有系统或覆盖掉现有样本库管理系统功能。</w:t>
      </w:r>
    </w:p>
    <w:p w14:paraId="67A98BD4">
      <w:pPr>
        <w:widowControl/>
        <w:spacing w:before="160" w:after="80" w:line="276" w:lineRule="auto"/>
        <w:jc w:val="left"/>
        <w:rPr>
          <w:rFonts w:hint="eastAsia" w:ascii="黑体" w:hAnsi="黑体" w:eastAsia="黑体"/>
          <w:b/>
          <w:kern w:val="0"/>
          <w:sz w:val="24"/>
          <w:szCs w:val="24"/>
          <w:lang w:val="en-US" w:eastAsia="zh-CN"/>
        </w:rPr>
      </w:pPr>
      <w:r>
        <w:rPr>
          <w:rFonts w:hint="eastAsia" w:ascii="黑体" w:hAnsi="黑体" w:eastAsia="黑体"/>
          <w:b/>
          <w:kern w:val="0"/>
          <w:sz w:val="24"/>
          <w:szCs w:val="24"/>
          <w:lang w:val="en-US" w:eastAsia="zh-CN"/>
        </w:rPr>
        <w:t>九、科研设备共享管理</w:t>
      </w:r>
    </w:p>
    <w:p w14:paraId="08E45EB0">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支持统计全院符合共享的</w:t>
      </w:r>
      <w:r>
        <w:rPr>
          <w:rFonts w:hint="default" w:ascii="宋体" w:hAnsi="宋体" w:eastAsia="宋体" w:cs="宋体"/>
          <w:b w:val="0"/>
          <w:bCs w:val="0"/>
          <w:color w:val="auto"/>
          <w:sz w:val="24"/>
          <w:szCs w:val="24"/>
          <w:lang w:val="en-US" w:eastAsia="zh-CN"/>
        </w:rPr>
        <w:t>科研</w:t>
      </w:r>
      <w:r>
        <w:rPr>
          <w:rFonts w:hint="eastAsia" w:ascii="宋体" w:hAnsi="宋体" w:eastAsia="宋体" w:cs="宋体"/>
          <w:b w:val="0"/>
          <w:bCs w:val="0"/>
          <w:color w:val="auto"/>
          <w:sz w:val="24"/>
          <w:szCs w:val="24"/>
          <w:lang w:val="en-US" w:eastAsia="zh-CN"/>
        </w:rPr>
        <w:t>设备，并展示设备基础信息，同时允许接入现有第三方大型设备管理系统。</w:t>
      </w:r>
    </w:p>
    <w:p w14:paraId="5CCDC160">
      <w:pPr>
        <w:widowControl/>
        <w:spacing w:before="160" w:after="80" w:line="276" w:lineRule="auto"/>
        <w:jc w:val="left"/>
        <w:rPr>
          <w:rFonts w:hint="default" w:ascii="黑体" w:hAnsi="黑体" w:eastAsia="黑体"/>
          <w:b/>
          <w:kern w:val="0"/>
          <w:sz w:val="24"/>
          <w:szCs w:val="24"/>
          <w:lang w:val="en-US" w:eastAsia="zh-CN"/>
        </w:rPr>
      </w:pPr>
      <w:r>
        <w:rPr>
          <w:rFonts w:hint="eastAsia" w:ascii="黑体" w:hAnsi="黑体" w:eastAsia="黑体"/>
          <w:b/>
          <w:kern w:val="0"/>
          <w:sz w:val="24"/>
          <w:szCs w:val="24"/>
          <w:lang w:val="en-US" w:eastAsia="zh-CN"/>
        </w:rPr>
        <w:t>十、自动化与智能化分析推荐</w:t>
      </w:r>
    </w:p>
    <w:p w14:paraId="360189FA">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支持形成科研人员画像，支持导入各纵向项目申报指南，支持根据用户学历、职称、成果等信息</w:t>
      </w:r>
      <w:r>
        <w:rPr>
          <w:rFonts w:hint="default" w:ascii="宋体" w:hAnsi="宋体" w:eastAsia="宋体" w:cs="宋体"/>
          <w:b w:val="0"/>
          <w:bCs w:val="0"/>
          <w:color w:val="auto"/>
          <w:sz w:val="24"/>
          <w:szCs w:val="24"/>
          <w:lang w:val="en-US" w:eastAsia="zh-CN"/>
        </w:rPr>
        <w:t>自动化智能化综合分析</w:t>
      </w:r>
      <w:r>
        <w:rPr>
          <w:rFonts w:hint="eastAsia" w:ascii="宋体" w:hAnsi="宋体" w:eastAsia="宋体" w:cs="宋体"/>
          <w:b w:val="0"/>
          <w:bCs w:val="0"/>
          <w:color w:val="auto"/>
          <w:sz w:val="24"/>
          <w:szCs w:val="24"/>
          <w:lang w:val="en-US" w:eastAsia="zh-CN"/>
        </w:rPr>
        <w:t>满足项目申报的人员名单和具体原因等并提供相关佐证材料。</w:t>
      </w:r>
    </w:p>
    <w:p w14:paraId="181F9DC9">
      <w:pPr>
        <w:widowControl/>
        <w:spacing w:before="160" w:after="80" w:line="276" w:lineRule="auto"/>
        <w:jc w:val="left"/>
        <w:rPr>
          <w:rFonts w:hint="eastAsia" w:ascii="黑体" w:hAnsi="黑体" w:eastAsia="黑体"/>
          <w:b/>
          <w:kern w:val="0"/>
          <w:sz w:val="24"/>
          <w:szCs w:val="24"/>
          <w:lang w:val="en-US" w:eastAsia="zh-CN"/>
        </w:rPr>
      </w:pPr>
      <w:r>
        <w:rPr>
          <w:rFonts w:hint="eastAsia" w:ascii="黑体" w:hAnsi="黑体" w:eastAsia="黑体"/>
          <w:b/>
          <w:kern w:val="0"/>
          <w:sz w:val="24"/>
          <w:szCs w:val="24"/>
          <w:lang w:val="en-US" w:eastAsia="zh-CN"/>
        </w:rPr>
        <w:t>十一、与各管理系统整合对接及数据同步</w:t>
      </w:r>
    </w:p>
    <w:p w14:paraId="29DF026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bCs/>
          <w:color w:val="auto"/>
          <w:sz w:val="24"/>
          <w:szCs w:val="24"/>
          <w:lang w:val="en-US" w:eastAsia="zh-CN"/>
        </w:rPr>
        <w:t>1.支持与HRP系统对接整合数据同步：</w:t>
      </w:r>
      <w:r>
        <w:rPr>
          <w:rFonts w:hint="eastAsia" w:ascii="宋体" w:hAnsi="宋体" w:eastAsia="宋体" w:cs="宋体"/>
          <w:b w:val="0"/>
          <w:bCs w:val="0"/>
          <w:color w:val="auto"/>
          <w:sz w:val="24"/>
          <w:szCs w:val="24"/>
          <w:lang w:val="en-US" w:eastAsia="zh-CN"/>
        </w:rPr>
        <w:t>科研成果管理系统须与我院HRP系统对接整合，两个系统的部分数据须保持同步一致（如成果登记信息、高水平科技成果配套信息、项目立项、项目台账、人力资源信息等，具体根据用户需求而定），成果登记在科研成果管理系统完成且数据同步到HRP系统，涉及经费的事宜在hrp系统办理且数据同步到科研成果管理系统。</w:t>
      </w:r>
    </w:p>
    <w:p w14:paraId="6A8442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2.支持与OA系统对接：</w:t>
      </w:r>
      <w:r>
        <w:rPr>
          <w:rFonts w:hint="eastAsia" w:ascii="宋体" w:hAnsi="宋体" w:eastAsia="宋体" w:cs="宋体"/>
          <w:b w:val="0"/>
          <w:bCs w:val="0"/>
          <w:color w:val="auto"/>
          <w:sz w:val="24"/>
          <w:szCs w:val="24"/>
          <w:lang w:val="en-US" w:eastAsia="zh-CN"/>
        </w:rPr>
        <w:t>凡涉及审批流程的可以在OA引用相关数据提交审批流程。</w:t>
      </w:r>
    </w:p>
    <w:p w14:paraId="271B6FE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bCs/>
          <w:color w:val="auto"/>
          <w:sz w:val="24"/>
          <w:szCs w:val="24"/>
          <w:lang w:val="en-US" w:eastAsia="zh-CN"/>
        </w:rPr>
        <w:t>3.支持与院内科研系统对接：</w:t>
      </w:r>
      <w:r>
        <w:rPr>
          <w:rFonts w:hint="eastAsia" w:ascii="宋体" w:hAnsi="宋体" w:eastAsia="宋体" w:cs="宋体"/>
          <w:b w:val="0"/>
          <w:bCs w:val="0"/>
          <w:color w:val="auto"/>
          <w:sz w:val="24"/>
          <w:szCs w:val="24"/>
          <w:lang w:val="en-US" w:eastAsia="zh-CN"/>
        </w:rPr>
        <w:t>支持与院内已有科研一体化平台对接，实现院内科研立项及数据等资源使用后的成果追踪等。</w:t>
      </w:r>
    </w:p>
    <w:p w14:paraId="657873F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default" w:ascii="宋体" w:hAnsi="宋体" w:eastAsia="宋体" w:cs="宋体"/>
          <w:b w:val="0"/>
          <w:bCs w:val="0"/>
          <w:color w:val="auto"/>
          <w:sz w:val="24"/>
          <w:szCs w:val="24"/>
          <w:lang w:val="en-US" w:eastAsia="zh-CN"/>
        </w:rPr>
      </w:pPr>
      <w:r>
        <w:rPr>
          <w:rFonts w:hint="eastAsia" w:ascii="宋体" w:hAnsi="宋体" w:eastAsia="宋体" w:cs="宋体"/>
          <w:b/>
          <w:bCs/>
          <w:color w:val="auto"/>
          <w:sz w:val="24"/>
          <w:szCs w:val="24"/>
          <w:lang w:val="en-US" w:eastAsia="zh-CN"/>
        </w:rPr>
        <w:t>4.支持与院内运营管理平台对接：</w:t>
      </w:r>
      <w:r>
        <w:rPr>
          <w:rFonts w:hint="eastAsia" w:ascii="宋体" w:hAnsi="宋体" w:eastAsia="宋体" w:cs="宋体"/>
          <w:b w:val="0"/>
          <w:bCs w:val="0"/>
          <w:color w:val="auto"/>
          <w:sz w:val="24"/>
          <w:szCs w:val="24"/>
          <w:lang w:val="en-US" w:eastAsia="zh-CN"/>
        </w:rPr>
        <w:t>支持与科室画像、员工画像等系统对接，支持完善科室、员工等相关信息。</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E5D71"/>
    <w:rsid w:val="002C5303"/>
    <w:rsid w:val="00893649"/>
    <w:rsid w:val="00A95A9A"/>
    <w:rsid w:val="01D67EF4"/>
    <w:rsid w:val="02217FDE"/>
    <w:rsid w:val="0224362A"/>
    <w:rsid w:val="022A6766"/>
    <w:rsid w:val="023575E5"/>
    <w:rsid w:val="029307AF"/>
    <w:rsid w:val="03547F3F"/>
    <w:rsid w:val="03A66872"/>
    <w:rsid w:val="03CE5F43"/>
    <w:rsid w:val="04C609C8"/>
    <w:rsid w:val="05212053"/>
    <w:rsid w:val="05451EB3"/>
    <w:rsid w:val="054D733B"/>
    <w:rsid w:val="057B5C57"/>
    <w:rsid w:val="05816D3C"/>
    <w:rsid w:val="05B747B5"/>
    <w:rsid w:val="064578CD"/>
    <w:rsid w:val="086C5D2B"/>
    <w:rsid w:val="0898267C"/>
    <w:rsid w:val="08CB47C7"/>
    <w:rsid w:val="093920B1"/>
    <w:rsid w:val="09E4660E"/>
    <w:rsid w:val="0A0501E5"/>
    <w:rsid w:val="0A0D52EB"/>
    <w:rsid w:val="0A446768"/>
    <w:rsid w:val="0A544CC8"/>
    <w:rsid w:val="0AF344E1"/>
    <w:rsid w:val="0B466FAE"/>
    <w:rsid w:val="0B7F3FC7"/>
    <w:rsid w:val="0BC814CA"/>
    <w:rsid w:val="0BF40511"/>
    <w:rsid w:val="0C590374"/>
    <w:rsid w:val="0D8C6527"/>
    <w:rsid w:val="0D904269"/>
    <w:rsid w:val="0E044924"/>
    <w:rsid w:val="0E06277D"/>
    <w:rsid w:val="0E121122"/>
    <w:rsid w:val="0EA004DC"/>
    <w:rsid w:val="0EB61AAE"/>
    <w:rsid w:val="0F421593"/>
    <w:rsid w:val="100B407B"/>
    <w:rsid w:val="102C1A15"/>
    <w:rsid w:val="103B5BE2"/>
    <w:rsid w:val="117143B2"/>
    <w:rsid w:val="1266706A"/>
    <w:rsid w:val="127777A6"/>
    <w:rsid w:val="1330580B"/>
    <w:rsid w:val="13517FF7"/>
    <w:rsid w:val="140408B5"/>
    <w:rsid w:val="140C7B91"/>
    <w:rsid w:val="14B06F9F"/>
    <w:rsid w:val="14CF1B1B"/>
    <w:rsid w:val="162E719C"/>
    <w:rsid w:val="166874AC"/>
    <w:rsid w:val="174C7453"/>
    <w:rsid w:val="17B80644"/>
    <w:rsid w:val="17C36A26"/>
    <w:rsid w:val="17DB07D7"/>
    <w:rsid w:val="17EE22B8"/>
    <w:rsid w:val="18601ABB"/>
    <w:rsid w:val="18700F1F"/>
    <w:rsid w:val="1941466A"/>
    <w:rsid w:val="1AB377E9"/>
    <w:rsid w:val="1AF26BB7"/>
    <w:rsid w:val="1B662AAD"/>
    <w:rsid w:val="1B7A20B5"/>
    <w:rsid w:val="1C0F6CA1"/>
    <w:rsid w:val="1C424981"/>
    <w:rsid w:val="1CAC2742"/>
    <w:rsid w:val="1CFF214E"/>
    <w:rsid w:val="1D0B7468"/>
    <w:rsid w:val="1D175E0D"/>
    <w:rsid w:val="1D4209B0"/>
    <w:rsid w:val="1E3B3D7D"/>
    <w:rsid w:val="1E4B4CD4"/>
    <w:rsid w:val="1EDD3086"/>
    <w:rsid w:val="206770AC"/>
    <w:rsid w:val="207277FE"/>
    <w:rsid w:val="20743577"/>
    <w:rsid w:val="20FF5536"/>
    <w:rsid w:val="21313216"/>
    <w:rsid w:val="213F3B84"/>
    <w:rsid w:val="21EB7868"/>
    <w:rsid w:val="2318468D"/>
    <w:rsid w:val="231F706B"/>
    <w:rsid w:val="23BA5744"/>
    <w:rsid w:val="242552B4"/>
    <w:rsid w:val="250F7D12"/>
    <w:rsid w:val="25383810"/>
    <w:rsid w:val="253B28B5"/>
    <w:rsid w:val="258E50DA"/>
    <w:rsid w:val="26480B13"/>
    <w:rsid w:val="264834DB"/>
    <w:rsid w:val="276E0D20"/>
    <w:rsid w:val="28B766F6"/>
    <w:rsid w:val="28FC235B"/>
    <w:rsid w:val="294E0E09"/>
    <w:rsid w:val="297D16EE"/>
    <w:rsid w:val="29826D04"/>
    <w:rsid w:val="29893EAB"/>
    <w:rsid w:val="29B34F88"/>
    <w:rsid w:val="29C42E79"/>
    <w:rsid w:val="2AAA4765"/>
    <w:rsid w:val="2ADC2444"/>
    <w:rsid w:val="2B0A5203"/>
    <w:rsid w:val="2B6D7540"/>
    <w:rsid w:val="2C1C51EE"/>
    <w:rsid w:val="2C5801F0"/>
    <w:rsid w:val="2C5C1A8E"/>
    <w:rsid w:val="2C6646BB"/>
    <w:rsid w:val="2D460049"/>
    <w:rsid w:val="2D7B7CF2"/>
    <w:rsid w:val="2FE0009C"/>
    <w:rsid w:val="2FF10740"/>
    <w:rsid w:val="30AC28B9"/>
    <w:rsid w:val="30F57DBC"/>
    <w:rsid w:val="310D15A9"/>
    <w:rsid w:val="312022F7"/>
    <w:rsid w:val="31684A32"/>
    <w:rsid w:val="31A726F1"/>
    <w:rsid w:val="32144BB9"/>
    <w:rsid w:val="323952E7"/>
    <w:rsid w:val="329B0E37"/>
    <w:rsid w:val="32BB5035"/>
    <w:rsid w:val="32F13530"/>
    <w:rsid w:val="32FA5B5D"/>
    <w:rsid w:val="336A3748"/>
    <w:rsid w:val="336E3E55"/>
    <w:rsid w:val="33C44052"/>
    <w:rsid w:val="33D77818"/>
    <w:rsid w:val="3489363D"/>
    <w:rsid w:val="34C226AB"/>
    <w:rsid w:val="34EC597A"/>
    <w:rsid w:val="352B46F4"/>
    <w:rsid w:val="3530432C"/>
    <w:rsid w:val="35523315"/>
    <w:rsid w:val="35DA654F"/>
    <w:rsid w:val="36486BE0"/>
    <w:rsid w:val="374970B3"/>
    <w:rsid w:val="37E666B0"/>
    <w:rsid w:val="38036589"/>
    <w:rsid w:val="38292E83"/>
    <w:rsid w:val="38722F2C"/>
    <w:rsid w:val="38770C9E"/>
    <w:rsid w:val="38A327F3"/>
    <w:rsid w:val="38A5656B"/>
    <w:rsid w:val="38DB01DF"/>
    <w:rsid w:val="38E075A3"/>
    <w:rsid w:val="39902D77"/>
    <w:rsid w:val="3A775CE5"/>
    <w:rsid w:val="3A804B9A"/>
    <w:rsid w:val="3AAD5BAB"/>
    <w:rsid w:val="3B653D90"/>
    <w:rsid w:val="3BE33959"/>
    <w:rsid w:val="3BFC2946"/>
    <w:rsid w:val="3C410359"/>
    <w:rsid w:val="3CCB2319"/>
    <w:rsid w:val="3CD15B81"/>
    <w:rsid w:val="3D1A30C6"/>
    <w:rsid w:val="3E3D0FF4"/>
    <w:rsid w:val="3F9115F7"/>
    <w:rsid w:val="3FA72BC9"/>
    <w:rsid w:val="411424E0"/>
    <w:rsid w:val="41195D48"/>
    <w:rsid w:val="413E57AF"/>
    <w:rsid w:val="41CC5867"/>
    <w:rsid w:val="41D40C2D"/>
    <w:rsid w:val="41F45E6E"/>
    <w:rsid w:val="422A188F"/>
    <w:rsid w:val="428B59A0"/>
    <w:rsid w:val="43650DD1"/>
    <w:rsid w:val="441B1DD7"/>
    <w:rsid w:val="442E1B0B"/>
    <w:rsid w:val="44C21640"/>
    <w:rsid w:val="44C61D43"/>
    <w:rsid w:val="455410FD"/>
    <w:rsid w:val="458E215E"/>
    <w:rsid w:val="46474FB7"/>
    <w:rsid w:val="46625A9C"/>
    <w:rsid w:val="48166B3E"/>
    <w:rsid w:val="48276F9D"/>
    <w:rsid w:val="48286871"/>
    <w:rsid w:val="48575D8F"/>
    <w:rsid w:val="48763A80"/>
    <w:rsid w:val="488066AD"/>
    <w:rsid w:val="488E1498"/>
    <w:rsid w:val="490948F4"/>
    <w:rsid w:val="491704FF"/>
    <w:rsid w:val="494B2817"/>
    <w:rsid w:val="496438D9"/>
    <w:rsid w:val="49777AB0"/>
    <w:rsid w:val="49792B95"/>
    <w:rsid w:val="49EF5A08"/>
    <w:rsid w:val="4A2A4B22"/>
    <w:rsid w:val="4A3F40DE"/>
    <w:rsid w:val="4ABB7B93"/>
    <w:rsid w:val="4B0709C0"/>
    <w:rsid w:val="4BCD39B7"/>
    <w:rsid w:val="4BEA15A7"/>
    <w:rsid w:val="4D033897"/>
    <w:rsid w:val="4D185106"/>
    <w:rsid w:val="4D1B65FF"/>
    <w:rsid w:val="4E061402"/>
    <w:rsid w:val="4ED817CF"/>
    <w:rsid w:val="4F253B0A"/>
    <w:rsid w:val="4F7F321A"/>
    <w:rsid w:val="4FB05ACA"/>
    <w:rsid w:val="504A1A7A"/>
    <w:rsid w:val="50A218B6"/>
    <w:rsid w:val="51072155"/>
    <w:rsid w:val="5119769F"/>
    <w:rsid w:val="51273B6A"/>
    <w:rsid w:val="5184720E"/>
    <w:rsid w:val="52100AA2"/>
    <w:rsid w:val="52173BDE"/>
    <w:rsid w:val="5285323E"/>
    <w:rsid w:val="53B11E10"/>
    <w:rsid w:val="54745318"/>
    <w:rsid w:val="548412D3"/>
    <w:rsid w:val="54D2203E"/>
    <w:rsid w:val="55207F80"/>
    <w:rsid w:val="55786DF3"/>
    <w:rsid w:val="55E53FF3"/>
    <w:rsid w:val="568455BA"/>
    <w:rsid w:val="568E6439"/>
    <w:rsid w:val="56927CD7"/>
    <w:rsid w:val="575431DF"/>
    <w:rsid w:val="57E52089"/>
    <w:rsid w:val="57E9601D"/>
    <w:rsid w:val="57FD3876"/>
    <w:rsid w:val="582157B7"/>
    <w:rsid w:val="58953AAF"/>
    <w:rsid w:val="58F22CAF"/>
    <w:rsid w:val="590E560F"/>
    <w:rsid w:val="593A6404"/>
    <w:rsid w:val="59421300"/>
    <w:rsid w:val="59561490"/>
    <w:rsid w:val="59796F2C"/>
    <w:rsid w:val="598031D1"/>
    <w:rsid w:val="59941FB8"/>
    <w:rsid w:val="59F36CDF"/>
    <w:rsid w:val="5AB14DE7"/>
    <w:rsid w:val="5CC96ACD"/>
    <w:rsid w:val="5CD75565"/>
    <w:rsid w:val="5CEB0141"/>
    <w:rsid w:val="5D370066"/>
    <w:rsid w:val="5DCD3CEB"/>
    <w:rsid w:val="5DE352BC"/>
    <w:rsid w:val="5E443FAD"/>
    <w:rsid w:val="5E987E55"/>
    <w:rsid w:val="5EEA61D6"/>
    <w:rsid w:val="5F3758C0"/>
    <w:rsid w:val="5F9A7BFD"/>
    <w:rsid w:val="5FB52C88"/>
    <w:rsid w:val="5FDC1FC3"/>
    <w:rsid w:val="600D6620"/>
    <w:rsid w:val="6014175D"/>
    <w:rsid w:val="604069F6"/>
    <w:rsid w:val="61EB473F"/>
    <w:rsid w:val="621B3C8C"/>
    <w:rsid w:val="62677055"/>
    <w:rsid w:val="632D7BEF"/>
    <w:rsid w:val="63302D52"/>
    <w:rsid w:val="6399385A"/>
    <w:rsid w:val="63CE6368"/>
    <w:rsid w:val="63F91AE7"/>
    <w:rsid w:val="64572560"/>
    <w:rsid w:val="6486074F"/>
    <w:rsid w:val="64F90F84"/>
    <w:rsid w:val="65B55790"/>
    <w:rsid w:val="66664CDC"/>
    <w:rsid w:val="667C1E0A"/>
    <w:rsid w:val="667E2026"/>
    <w:rsid w:val="66B43C9A"/>
    <w:rsid w:val="675D0ED1"/>
    <w:rsid w:val="67FD341E"/>
    <w:rsid w:val="68556DB7"/>
    <w:rsid w:val="68D423D1"/>
    <w:rsid w:val="68DD723C"/>
    <w:rsid w:val="69674FF3"/>
    <w:rsid w:val="699658D9"/>
    <w:rsid w:val="6A9040D6"/>
    <w:rsid w:val="6B234F4A"/>
    <w:rsid w:val="6B797260"/>
    <w:rsid w:val="6BC93D43"/>
    <w:rsid w:val="6BE23555"/>
    <w:rsid w:val="6BF07522"/>
    <w:rsid w:val="6BFE49AF"/>
    <w:rsid w:val="6C5630FD"/>
    <w:rsid w:val="6CF748E0"/>
    <w:rsid w:val="6FB827AF"/>
    <w:rsid w:val="6FE3114C"/>
    <w:rsid w:val="700F3CEF"/>
    <w:rsid w:val="71011F2A"/>
    <w:rsid w:val="71081794"/>
    <w:rsid w:val="711F4406"/>
    <w:rsid w:val="719B7F30"/>
    <w:rsid w:val="71A861A9"/>
    <w:rsid w:val="721759FC"/>
    <w:rsid w:val="7230291A"/>
    <w:rsid w:val="7289422C"/>
    <w:rsid w:val="72C05A7C"/>
    <w:rsid w:val="7332230D"/>
    <w:rsid w:val="733E22E4"/>
    <w:rsid w:val="73C53042"/>
    <w:rsid w:val="752B083B"/>
    <w:rsid w:val="755F74C6"/>
    <w:rsid w:val="75CD61DE"/>
    <w:rsid w:val="761E4C8C"/>
    <w:rsid w:val="76944452"/>
    <w:rsid w:val="76D65566"/>
    <w:rsid w:val="76FA74A7"/>
    <w:rsid w:val="776E6AA1"/>
    <w:rsid w:val="77B43AFA"/>
    <w:rsid w:val="77C35AEB"/>
    <w:rsid w:val="77E141C3"/>
    <w:rsid w:val="781B0C6C"/>
    <w:rsid w:val="78850FF2"/>
    <w:rsid w:val="78AA6CAB"/>
    <w:rsid w:val="78AD22F7"/>
    <w:rsid w:val="791D56CF"/>
    <w:rsid w:val="79245704"/>
    <w:rsid w:val="796365C3"/>
    <w:rsid w:val="79907C4E"/>
    <w:rsid w:val="799E680F"/>
    <w:rsid w:val="79E54F49"/>
    <w:rsid w:val="7A3F3423"/>
    <w:rsid w:val="7A835A05"/>
    <w:rsid w:val="7BC97448"/>
    <w:rsid w:val="7BDC53CD"/>
    <w:rsid w:val="7C0466D2"/>
    <w:rsid w:val="7C1E0511"/>
    <w:rsid w:val="7C32323F"/>
    <w:rsid w:val="7C5C4760"/>
    <w:rsid w:val="7C794503"/>
    <w:rsid w:val="7DB67EA0"/>
    <w:rsid w:val="7E1C41A7"/>
    <w:rsid w:val="7E462FD2"/>
    <w:rsid w:val="7EEF71C5"/>
    <w:rsid w:val="7F08472B"/>
    <w:rsid w:val="7F403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8b918bfd-5b70-46bf-9c6e-5c63d4d7e872</errorID>
      <errorWord>需求去</errorWord>
      <group>L1_Word</group>
      <groupName>字词问题</groupName>
      <ability>L2_Typo</ability>
      <abilityName>字词错误</abilityName>
      <candidateList>
        <item>需求</item>
      </candidateList>
      <explain/>
      <paraID>2B08CF37</paraID>
      <start>47</start>
      <end>50</end>
      <status>unmodified</status>
      <modifiedWord/>
      <trackRevisions>false</trackRevisions>
    </reviewItem>
    <reviewItem>
      <errorID>ca3c7031-6911-4c92-90ea-7b5049d8f0f2</errorID>
      <errorWord>调</errorWord>
      <group>L1_Word</group>
      <groupName>字词问题</groupName>
      <ability>L2_Typo</ability>
      <abilityName>字词错误</abilityName>
      <candidateList>
        <item>调整</item>
      </candidateList>
      <explain/>
      <paraID>546968D8</paraID>
      <start>97</start>
      <end>98</end>
      <status>unmodified</status>
      <modifiedWord/>
      <trackRevisions>false</trackRevisions>
    </reviewItem>
  </reviewItems>
  <config/>
</contractReview>
</file>

<file path=customXml/itemProps1.xml><?xml version="1.0" encoding="utf-8"?>
<ds:datastoreItem xmlns:ds="http://schemas.openxmlformats.org/officeDocument/2006/customXml" ds:itemID="{0c69bd03-6fea-472d-8f66-267969d23c4c}">
  <ds:schemaRefs/>
</ds:datastoreItem>
</file>

<file path=docProps/app.xml><?xml version="1.0" encoding="utf-8"?>
<Properties xmlns="http://schemas.openxmlformats.org/officeDocument/2006/extended-properties" xmlns:vt="http://schemas.openxmlformats.org/officeDocument/2006/docPropsVTypes">
  <Template>Normal.dotm</Template>
  <Pages>3</Pages>
  <Words>2577</Words>
  <Characters>2629</Characters>
  <Lines>0</Lines>
  <Paragraphs>0</Paragraphs>
  <TotalTime>37</TotalTime>
  <ScaleCrop>false</ScaleCrop>
  <LinksUpToDate>false</LinksUpToDate>
  <CharactersWithSpaces>2630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2026-07-21T06:33:00Z</dcterms:created>
  <dc:creator>Administrator</dc:creator>
  <cp:lastModifiedBy>白银铃</cp:lastModifiedBy>
  <dcterms:modified xsi:type="dcterms:W3CDTF">2026-09-03T08:54:17Z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eyJoZGlkIjoiYWYxOTFjYzI3OTBhYTRiNzczOTYxMzM0NWJhNTc3MjQiLCJ1c2VySWQiOiIxNzIwMDIyOTEzIn0=</vt:lpwstr>
  </property>
  <property fmtid="{D5CDD505-2E9C-101B-9397-08002B2CF9AE}" pid="4" name="ICV">
    <vt:lpwstr>BFE37686E0B94E14A518ACACC969E08F_13</vt:lpwstr>
  </property>
</Properties>
</file>