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3868"/>
      <w:bookmarkStart w:id="1" w:name="_Toc1304"/>
      <w:bookmarkStart w:id="2" w:name="_Toc76373863"/>
      <w:bookmarkStart w:id="3" w:name="_Toc10059"/>
      <w:bookmarkStart w:id="4" w:name="_Toc31066"/>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15376"/>
      <w:bookmarkStart w:id="8" w:name="_Toc22435"/>
      <w:bookmarkStart w:id="9" w:name="_Toc5909"/>
      <w:bookmarkStart w:id="10" w:name="_Toc76373864"/>
      <w:bookmarkStart w:id="11" w:name="_Toc28264"/>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17125846">
      <w:pPr>
        <w:widowControl/>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项目名称：一次性使用泵用注射器带针</w:t>
      </w:r>
      <w:r>
        <w:rPr>
          <w:rFonts w:hint="eastAsia" w:ascii="宋体" w:hAnsi="宋体" w:cs="宋体"/>
          <w:color w:val="auto"/>
          <w:sz w:val="24"/>
          <w:szCs w:val="24"/>
          <w:lang w:eastAsia="zh-CN"/>
        </w:rPr>
        <w:t>、</w:t>
      </w:r>
      <w:r>
        <w:rPr>
          <w:rFonts w:hint="eastAsia" w:ascii="宋体" w:hAnsi="宋体" w:cs="宋体"/>
          <w:color w:val="auto"/>
          <w:sz w:val="24"/>
          <w:szCs w:val="24"/>
        </w:rPr>
        <w:t>一次性使用钝末端注射针</w:t>
      </w:r>
      <w:r>
        <w:rPr>
          <w:rFonts w:hint="eastAsia" w:ascii="宋体" w:hAnsi="宋体" w:cs="宋体"/>
          <w:color w:val="auto"/>
          <w:sz w:val="24"/>
          <w:szCs w:val="24"/>
          <w:lang w:eastAsia="zh-CN"/>
        </w:rPr>
        <w:t>、</w:t>
      </w:r>
      <w:r>
        <w:rPr>
          <w:rFonts w:hint="eastAsia" w:ascii="宋体" w:hAnsi="宋体" w:cs="宋体"/>
          <w:color w:val="auto"/>
          <w:sz w:val="24"/>
          <w:szCs w:val="24"/>
        </w:rPr>
        <w:t>一次性使用无菌</w:t>
      </w:r>
      <w:r>
        <w:rPr>
          <w:rFonts w:hint="eastAsia" w:ascii="宋体" w:hAnsi="宋体" w:cs="宋体"/>
          <w:color w:val="auto"/>
          <w:sz w:val="24"/>
          <w:szCs w:val="24"/>
          <w:lang w:eastAsia="zh-CN"/>
        </w:rPr>
        <w:t>、</w:t>
      </w:r>
      <w:r>
        <w:rPr>
          <w:rFonts w:hint="eastAsia" w:ascii="宋体" w:hAnsi="宋体" w:cs="宋体"/>
          <w:color w:val="auto"/>
          <w:sz w:val="24"/>
          <w:szCs w:val="24"/>
        </w:rPr>
        <w:t>射用交联透明质酸钠凝胶</w:t>
      </w:r>
      <w:r>
        <w:rPr>
          <w:rFonts w:hint="eastAsia" w:ascii="宋体" w:hAnsi="宋体" w:cs="宋体"/>
          <w:color w:val="auto"/>
          <w:sz w:val="24"/>
          <w:szCs w:val="24"/>
          <w:lang w:eastAsia="zh-CN"/>
        </w:rPr>
        <w:t>、</w:t>
      </w:r>
      <w:r>
        <w:rPr>
          <w:rFonts w:hint="eastAsia" w:ascii="宋体" w:hAnsi="宋体" w:cs="宋体"/>
          <w:color w:val="auto"/>
          <w:sz w:val="24"/>
          <w:szCs w:val="24"/>
        </w:rPr>
        <w:t>注射用修饰透明质酸钠凝胶</w:t>
      </w:r>
      <w:r>
        <w:rPr>
          <w:rFonts w:hint="eastAsia" w:ascii="宋体" w:hAnsi="宋体" w:cs="宋体"/>
          <w:color w:val="auto"/>
          <w:sz w:val="24"/>
          <w:szCs w:val="24"/>
          <w:lang w:eastAsia="zh-CN"/>
        </w:rPr>
        <w:t>；</w:t>
      </w:r>
      <w:r>
        <w:rPr>
          <w:rFonts w:hint="eastAsia" w:ascii="宋体" w:hAnsi="宋体" w:cs="宋体"/>
          <w:color w:val="auto"/>
          <w:sz w:val="24"/>
          <w:szCs w:val="24"/>
        </w:rPr>
        <w:t>注射用透明质酸钠复合溶液</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8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1057"/>
        <w:gridCol w:w="2568"/>
        <w:gridCol w:w="1400"/>
        <w:gridCol w:w="1462"/>
        <w:gridCol w:w="1462"/>
      </w:tblGrid>
      <w:tr w14:paraId="70D6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023" w:type="dxa"/>
            <w:noWrap w:val="0"/>
            <w:vAlign w:val="center"/>
          </w:tcPr>
          <w:p w14:paraId="4CA58D17">
            <w:pPr>
              <w:pStyle w:val="52"/>
              <w:spacing w:before="120" w:beforeLines="50" w:beforeAutospacing="0" w:after="0" w:afterAutospacing="0" w:line="400" w:lineRule="exact"/>
              <w:jc w:val="both"/>
              <w:rPr>
                <w:rFonts w:hint="eastAsia" w:ascii="宋体" w:hAnsi="宋体" w:eastAsia="宋体" w:cs="宋体"/>
                <w:color w:val="000000"/>
                <w:kern w:val="2"/>
                <w:szCs w:val="24"/>
                <w:lang w:val="en-US" w:eastAsia="zh-CN"/>
              </w:rPr>
            </w:pPr>
            <w:bookmarkStart w:id="14" w:name="_Toc22707"/>
            <w:bookmarkStart w:id="15" w:name="_Toc18060"/>
            <w:bookmarkStart w:id="16" w:name="_Toc76373865"/>
            <w:bookmarkStart w:id="17" w:name="_Toc5838"/>
            <w:bookmarkStart w:id="18" w:name="_Toc22129"/>
            <w:r>
              <w:rPr>
                <w:rFonts w:hint="eastAsia" w:ascii="宋体" w:hAnsi="宋体" w:eastAsia="宋体" w:cs="宋体"/>
                <w:color w:val="000000"/>
                <w:kern w:val="2"/>
                <w:szCs w:val="24"/>
                <w:lang w:val="en-US" w:eastAsia="zh-CN"/>
              </w:rPr>
              <w:t>包号</w:t>
            </w:r>
          </w:p>
        </w:tc>
        <w:tc>
          <w:tcPr>
            <w:tcW w:w="1057" w:type="dxa"/>
            <w:noWrap w:val="0"/>
            <w:vAlign w:val="center"/>
          </w:tcPr>
          <w:p w14:paraId="5D6D9CFB">
            <w:pPr>
              <w:pStyle w:val="52"/>
              <w:spacing w:before="120" w:beforeLines="50" w:beforeAutospacing="0" w:after="0" w:afterAutospacing="0" w:line="400" w:lineRule="exact"/>
              <w:jc w:val="both"/>
              <w:rPr>
                <w:rFonts w:hint="default" w:ascii="宋体" w:hAnsi="宋体" w:eastAsia="宋体" w:cs="宋体"/>
                <w:color w:val="000000"/>
                <w:kern w:val="2"/>
                <w:szCs w:val="24"/>
                <w:lang w:val="en-US" w:eastAsia="zh-CN"/>
              </w:rPr>
            </w:pPr>
            <w:r>
              <w:rPr>
                <w:rFonts w:hint="eastAsia" w:ascii="宋体" w:hAnsi="宋体" w:eastAsia="宋体" w:cs="宋体"/>
                <w:color w:val="000000"/>
                <w:kern w:val="2"/>
                <w:szCs w:val="24"/>
                <w:lang w:val="en-US" w:eastAsia="zh-CN"/>
              </w:rPr>
              <w:t>分项明细</w:t>
            </w:r>
          </w:p>
        </w:tc>
        <w:tc>
          <w:tcPr>
            <w:tcW w:w="2568" w:type="dxa"/>
            <w:noWrap w:val="0"/>
            <w:vAlign w:val="center"/>
          </w:tcPr>
          <w:p w14:paraId="4647247B">
            <w:pPr>
              <w:pStyle w:val="52"/>
              <w:spacing w:before="120" w:beforeLines="50" w:beforeAutospacing="0" w:after="0" w:afterAutospacing="0" w:line="400" w:lineRule="exact"/>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Cs w:val="24"/>
              </w:rPr>
              <w:t>名称</w:t>
            </w:r>
          </w:p>
        </w:tc>
        <w:tc>
          <w:tcPr>
            <w:tcW w:w="1400" w:type="dxa"/>
            <w:noWrap w:val="0"/>
            <w:vAlign w:val="center"/>
          </w:tcPr>
          <w:p w14:paraId="36F0AAB6">
            <w:pPr>
              <w:pStyle w:val="52"/>
              <w:spacing w:before="120" w:beforeLines="50" w:beforeAutospacing="0" w:after="0" w:afterAutospacing="0" w:line="400" w:lineRule="exact"/>
              <w:jc w:val="center"/>
              <w:rPr>
                <w:rFonts w:hint="eastAsia" w:ascii="宋体" w:hAnsi="宋体" w:eastAsia="宋体" w:cs="宋体"/>
                <w:color w:val="000000"/>
                <w:kern w:val="2"/>
                <w:szCs w:val="24"/>
              </w:rPr>
            </w:pPr>
            <w:r>
              <w:rPr>
                <w:rFonts w:hint="eastAsia" w:ascii="宋体" w:hAnsi="宋体" w:eastAsia="宋体" w:cs="宋体"/>
                <w:color w:val="000000"/>
                <w:kern w:val="2"/>
                <w:szCs w:val="24"/>
              </w:rPr>
              <w:t>采购数量</w:t>
            </w:r>
          </w:p>
        </w:tc>
        <w:tc>
          <w:tcPr>
            <w:tcW w:w="1462" w:type="dxa"/>
            <w:noWrap w:val="0"/>
            <w:vAlign w:val="center"/>
          </w:tcPr>
          <w:p w14:paraId="3E0705DB">
            <w:pPr>
              <w:pStyle w:val="52"/>
              <w:spacing w:before="120" w:beforeLines="50" w:beforeAutospacing="0" w:after="0" w:afterAutospacing="0" w:line="400" w:lineRule="exact"/>
              <w:jc w:val="center"/>
              <w:rPr>
                <w:rFonts w:hint="eastAsia" w:ascii="宋体" w:hAnsi="宋体" w:eastAsia="宋体" w:cs="宋体"/>
                <w:color w:val="000000"/>
                <w:kern w:val="2"/>
                <w:szCs w:val="24"/>
              </w:rPr>
            </w:pPr>
            <w:r>
              <w:rPr>
                <w:rFonts w:hint="eastAsia" w:ascii="宋体" w:hAnsi="宋体" w:eastAsia="宋体" w:cs="宋体"/>
                <w:color w:val="000000"/>
                <w:kern w:val="2"/>
                <w:szCs w:val="24"/>
              </w:rPr>
              <w:t>成交供应商</w:t>
            </w:r>
            <w:r>
              <w:rPr>
                <w:rFonts w:hint="eastAsia" w:ascii="宋体" w:hAnsi="宋体" w:eastAsia="宋体" w:cs="宋体"/>
                <w:color w:val="000000"/>
                <w:kern w:val="2"/>
                <w:szCs w:val="24"/>
                <w:lang w:val="en-US" w:eastAsia="zh-CN"/>
              </w:rPr>
              <w:t>/品牌</w:t>
            </w:r>
            <w:r>
              <w:rPr>
                <w:rFonts w:hint="eastAsia" w:ascii="宋体" w:hAnsi="宋体" w:eastAsia="宋体" w:cs="宋体"/>
                <w:color w:val="000000"/>
                <w:kern w:val="2"/>
                <w:szCs w:val="24"/>
              </w:rPr>
              <w:t>(个）</w:t>
            </w:r>
          </w:p>
        </w:tc>
        <w:tc>
          <w:tcPr>
            <w:tcW w:w="1462" w:type="dxa"/>
            <w:noWrap w:val="0"/>
            <w:vAlign w:val="center"/>
          </w:tcPr>
          <w:p w14:paraId="44872817">
            <w:pPr>
              <w:pStyle w:val="52"/>
              <w:spacing w:before="120" w:beforeLines="50" w:beforeAutospacing="0" w:after="0" w:afterAutospacing="0" w:line="400" w:lineRule="exact"/>
              <w:jc w:val="center"/>
              <w:rPr>
                <w:rFonts w:hint="eastAsia" w:ascii="宋体" w:hAnsi="宋体" w:eastAsia="宋体" w:cs="宋体"/>
                <w:color w:val="000000"/>
                <w:kern w:val="2"/>
                <w:szCs w:val="24"/>
              </w:rPr>
            </w:pPr>
            <w:r>
              <w:rPr>
                <w:rFonts w:hint="eastAsia" w:ascii="宋体" w:hAnsi="宋体" w:eastAsia="宋体" w:cs="宋体"/>
                <w:color w:val="auto"/>
                <w:kern w:val="2"/>
                <w:sz w:val="24"/>
                <w:szCs w:val="24"/>
                <w:lang w:val="en-US" w:eastAsia="zh-CN" w:bidi="ar-SA"/>
              </w:rPr>
              <w:t>需求科室</w:t>
            </w:r>
          </w:p>
        </w:tc>
      </w:tr>
      <w:tr w14:paraId="7E975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23" w:type="dxa"/>
            <w:vMerge w:val="restart"/>
            <w:noWrap w:val="0"/>
            <w:vAlign w:val="center"/>
          </w:tcPr>
          <w:p w14:paraId="04C98AE6">
            <w:pPr>
              <w:widowControl/>
              <w:spacing w:line="400" w:lineRule="exact"/>
              <w:jc w:val="center"/>
              <w:rPr>
                <w:rFonts w:hint="eastAsia" w:ascii="宋体" w:hAnsi="宋体" w:eastAsia="宋体" w:cs="宋体"/>
                <w:color w:val="000000"/>
                <w:sz w:val="24"/>
                <w:szCs w:val="24"/>
                <w:lang w:val="en-US" w:eastAsia="zh-CN"/>
              </w:rPr>
            </w:pPr>
            <w:bookmarkStart w:id="19" w:name="OLE_LINK21"/>
            <w:bookmarkStart w:id="20" w:name="OLE_LINK20" w:colFirst="1" w:colLast="1"/>
            <w:r>
              <w:rPr>
                <w:rFonts w:hint="eastAsia" w:ascii="宋体" w:hAnsi="宋体" w:cs="宋体"/>
                <w:color w:val="000000"/>
                <w:sz w:val="24"/>
                <w:szCs w:val="24"/>
                <w:lang w:val="en-US" w:eastAsia="zh-CN"/>
              </w:rPr>
              <w:t>包一</w:t>
            </w:r>
            <w:bookmarkEnd w:id="19"/>
          </w:p>
        </w:tc>
        <w:tc>
          <w:tcPr>
            <w:tcW w:w="1057" w:type="dxa"/>
            <w:noWrap w:val="0"/>
            <w:vAlign w:val="center"/>
          </w:tcPr>
          <w:p w14:paraId="4F787467">
            <w:pPr>
              <w:widowControl/>
              <w:spacing w:line="400" w:lineRule="exact"/>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1</w:t>
            </w:r>
          </w:p>
        </w:tc>
        <w:tc>
          <w:tcPr>
            <w:tcW w:w="2568" w:type="dxa"/>
            <w:noWrap w:val="0"/>
            <w:vAlign w:val="top"/>
          </w:tcPr>
          <w:p w14:paraId="0720531F">
            <w:pPr>
              <w:spacing w:beforeLines="0" w:afterLines="0"/>
              <w:jc w:val="center"/>
              <w:rPr>
                <w:rFonts w:hint="eastAsia" w:ascii="宋体" w:hAnsi="宋体"/>
                <w:color w:val="000000"/>
                <w:kern w:val="2"/>
                <w:sz w:val="22"/>
                <w:szCs w:val="24"/>
                <w:lang w:val="en-US" w:eastAsia="zh-CN" w:bidi="ar-SA"/>
              </w:rPr>
            </w:pPr>
            <w:r>
              <w:rPr>
                <w:rFonts w:hint="eastAsia" w:ascii="宋体" w:hAnsi="宋体"/>
                <w:color w:val="000000"/>
                <w:sz w:val="22"/>
                <w:szCs w:val="24"/>
              </w:rPr>
              <w:t>一次性使用泵用注射器带针</w:t>
            </w:r>
          </w:p>
        </w:tc>
        <w:tc>
          <w:tcPr>
            <w:tcW w:w="1400" w:type="dxa"/>
            <w:noWrap w:val="0"/>
            <w:vAlign w:val="center"/>
          </w:tcPr>
          <w:p w14:paraId="1FED08EC">
            <w:pPr>
              <w:pStyle w:val="52"/>
              <w:spacing w:before="120" w:beforeLines="50" w:beforeAutospacing="0" w:after="0" w:afterAutospacing="0" w:line="400" w:lineRule="exact"/>
              <w:jc w:val="center"/>
              <w:rPr>
                <w:rFonts w:ascii="宋体" w:hAnsi="宋体" w:eastAsia="宋体" w:cs="宋体"/>
                <w:color w:val="000000"/>
                <w:kern w:val="2"/>
                <w:szCs w:val="24"/>
              </w:rPr>
            </w:pPr>
            <w:bookmarkStart w:id="21" w:name="OLE_LINK19"/>
            <w:r>
              <w:rPr>
                <w:rFonts w:hint="eastAsia" w:ascii="宋体" w:hAnsi="宋体" w:eastAsia="宋体" w:cs="宋体"/>
                <w:color w:val="000000"/>
                <w:kern w:val="2"/>
                <w:szCs w:val="24"/>
                <w:lang w:val="en-US" w:eastAsia="zh-CN"/>
              </w:rPr>
              <w:t>按实结算</w:t>
            </w:r>
            <w:bookmarkEnd w:id="21"/>
          </w:p>
        </w:tc>
        <w:tc>
          <w:tcPr>
            <w:tcW w:w="1462" w:type="dxa"/>
            <w:vMerge w:val="restart"/>
            <w:noWrap w:val="0"/>
            <w:vAlign w:val="center"/>
          </w:tcPr>
          <w:p w14:paraId="27A9E5E5">
            <w:pPr>
              <w:pStyle w:val="52"/>
              <w:spacing w:before="120" w:beforeLines="50" w:beforeAutospacing="0" w:after="0" w:afterAutospacing="0" w:line="400" w:lineRule="exact"/>
              <w:jc w:val="center"/>
              <w:rPr>
                <w:rFonts w:hint="eastAsia" w:ascii="宋体" w:hAnsi="宋体" w:eastAsia="宋体" w:cs="宋体"/>
                <w:color w:val="000000"/>
                <w:kern w:val="2"/>
                <w:szCs w:val="24"/>
              </w:rPr>
            </w:pPr>
            <w:r>
              <w:rPr>
                <w:rFonts w:hint="eastAsia" w:ascii="宋体" w:hAnsi="宋体" w:eastAsia="宋体" w:cs="宋体"/>
                <w:color w:val="000000"/>
                <w:kern w:val="2"/>
                <w:szCs w:val="24"/>
              </w:rPr>
              <w:t>1</w:t>
            </w:r>
          </w:p>
        </w:tc>
        <w:tc>
          <w:tcPr>
            <w:tcW w:w="1462" w:type="dxa"/>
            <w:vMerge w:val="restart"/>
            <w:noWrap w:val="0"/>
            <w:vAlign w:val="center"/>
          </w:tcPr>
          <w:p w14:paraId="203F554F">
            <w:pPr>
              <w:pStyle w:val="52"/>
              <w:spacing w:before="120" w:beforeLines="50" w:beforeAutospacing="0" w:after="0" w:afterAutospacing="0" w:line="400" w:lineRule="exact"/>
              <w:jc w:val="center"/>
              <w:rPr>
                <w:rFonts w:hint="default" w:ascii="宋体" w:hAnsi="宋体" w:eastAsia="宋体" w:cs="宋体"/>
                <w:color w:val="000000"/>
                <w:kern w:val="2"/>
                <w:szCs w:val="24"/>
                <w:lang w:val="en-US" w:eastAsia="zh-CN"/>
              </w:rPr>
            </w:pPr>
            <w:r>
              <w:rPr>
                <w:rFonts w:hint="eastAsia" w:ascii="宋体" w:hAnsi="宋体" w:eastAsia="宋体" w:cs="宋体"/>
                <w:color w:val="000000"/>
                <w:kern w:val="2"/>
                <w:szCs w:val="24"/>
                <w:lang w:val="en-US" w:eastAsia="zh-CN"/>
              </w:rPr>
              <w:t>皮肤与医疗美容中心</w:t>
            </w:r>
          </w:p>
        </w:tc>
      </w:tr>
      <w:tr w14:paraId="7D8B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23" w:type="dxa"/>
            <w:vMerge w:val="continue"/>
            <w:noWrap w:val="0"/>
            <w:vAlign w:val="center"/>
          </w:tcPr>
          <w:p w14:paraId="6DACE304">
            <w:pPr>
              <w:widowControl/>
              <w:spacing w:line="400" w:lineRule="exact"/>
              <w:jc w:val="center"/>
              <w:rPr>
                <w:rFonts w:hint="eastAsia" w:ascii="宋体" w:hAnsi="宋体" w:cs="宋体"/>
                <w:color w:val="000000"/>
                <w:sz w:val="24"/>
                <w:szCs w:val="24"/>
                <w:lang w:val="en-US" w:eastAsia="zh-CN"/>
              </w:rPr>
            </w:pPr>
          </w:p>
        </w:tc>
        <w:tc>
          <w:tcPr>
            <w:tcW w:w="1057" w:type="dxa"/>
            <w:noWrap w:val="0"/>
            <w:vAlign w:val="center"/>
          </w:tcPr>
          <w:p w14:paraId="1B5FC516">
            <w:pPr>
              <w:widowControl/>
              <w:spacing w:line="400" w:lineRule="exact"/>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2</w:t>
            </w:r>
          </w:p>
        </w:tc>
        <w:tc>
          <w:tcPr>
            <w:tcW w:w="2568" w:type="dxa"/>
            <w:noWrap w:val="0"/>
            <w:vAlign w:val="top"/>
          </w:tcPr>
          <w:p w14:paraId="495D16BC">
            <w:pPr>
              <w:spacing w:beforeLines="0" w:afterLines="0"/>
              <w:jc w:val="center"/>
              <w:rPr>
                <w:rFonts w:hint="eastAsia" w:ascii="宋体" w:hAnsi="宋体"/>
                <w:color w:val="000000"/>
                <w:kern w:val="2"/>
                <w:sz w:val="22"/>
                <w:szCs w:val="24"/>
                <w:lang w:val="en-US" w:eastAsia="zh-CN" w:bidi="ar-SA"/>
              </w:rPr>
            </w:pPr>
            <w:r>
              <w:rPr>
                <w:rFonts w:hint="eastAsia" w:ascii="宋体" w:hAnsi="宋体"/>
                <w:color w:val="000000"/>
                <w:sz w:val="22"/>
                <w:szCs w:val="24"/>
              </w:rPr>
              <w:t>一次性使用钝末端注射针</w:t>
            </w:r>
          </w:p>
        </w:tc>
        <w:tc>
          <w:tcPr>
            <w:tcW w:w="1400" w:type="dxa"/>
            <w:noWrap w:val="0"/>
            <w:vAlign w:val="center"/>
          </w:tcPr>
          <w:p w14:paraId="17EC2204">
            <w:pPr>
              <w:pStyle w:val="52"/>
              <w:spacing w:before="120" w:beforeLines="50" w:beforeAutospacing="0" w:after="0" w:afterAutospacing="0" w:line="400" w:lineRule="exact"/>
              <w:jc w:val="center"/>
              <w:rPr>
                <w:rFonts w:hint="eastAsia" w:ascii="宋体" w:hAnsi="宋体" w:eastAsia="宋体" w:cs="宋体"/>
                <w:color w:val="000000"/>
                <w:kern w:val="2"/>
                <w:szCs w:val="24"/>
                <w:lang w:val="en-US" w:eastAsia="zh-CN"/>
              </w:rPr>
            </w:pPr>
            <w:r>
              <w:rPr>
                <w:rFonts w:hint="eastAsia" w:ascii="宋体" w:hAnsi="宋体" w:eastAsia="宋体" w:cs="宋体"/>
                <w:color w:val="000000"/>
                <w:kern w:val="2"/>
                <w:szCs w:val="24"/>
                <w:lang w:val="en-US" w:eastAsia="zh-CN"/>
              </w:rPr>
              <w:t>按实结算</w:t>
            </w:r>
          </w:p>
        </w:tc>
        <w:tc>
          <w:tcPr>
            <w:tcW w:w="1462" w:type="dxa"/>
            <w:vMerge w:val="continue"/>
            <w:noWrap w:val="0"/>
            <w:vAlign w:val="center"/>
          </w:tcPr>
          <w:p w14:paraId="3B15D07D">
            <w:pPr>
              <w:pStyle w:val="52"/>
              <w:spacing w:before="120" w:beforeLines="50" w:beforeAutospacing="0" w:after="0" w:afterAutospacing="0" w:line="400" w:lineRule="exact"/>
              <w:jc w:val="center"/>
              <w:rPr>
                <w:rFonts w:hint="eastAsia" w:ascii="宋体" w:hAnsi="宋体" w:eastAsia="宋体" w:cs="宋体"/>
                <w:color w:val="000000"/>
                <w:kern w:val="2"/>
                <w:szCs w:val="24"/>
              </w:rPr>
            </w:pPr>
          </w:p>
        </w:tc>
        <w:tc>
          <w:tcPr>
            <w:tcW w:w="1462" w:type="dxa"/>
            <w:vMerge w:val="continue"/>
            <w:tcBorders/>
            <w:noWrap w:val="0"/>
            <w:vAlign w:val="center"/>
          </w:tcPr>
          <w:p w14:paraId="3F002C96">
            <w:pPr>
              <w:pStyle w:val="52"/>
              <w:spacing w:before="120" w:beforeLines="50" w:beforeAutospacing="0" w:after="0" w:afterAutospacing="0" w:line="400" w:lineRule="exact"/>
              <w:jc w:val="center"/>
              <w:rPr>
                <w:rFonts w:hint="eastAsia" w:ascii="宋体" w:hAnsi="宋体" w:eastAsia="宋体" w:cs="宋体"/>
                <w:color w:val="000000"/>
                <w:kern w:val="2"/>
                <w:szCs w:val="24"/>
              </w:rPr>
            </w:pPr>
          </w:p>
        </w:tc>
      </w:tr>
      <w:tr w14:paraId="1FE8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23" w:type="dxa"/>
            <w:vMerge w:val="continue"/>
            <w:noWrap w:val="0"/>
            <w:vAlign w:val="center"/>
          </w:tcPr>
          <w:p w14:paraId="0EBEAFD6">
            <w:pPr>
              <w:widowControl/>
              <w:spacing w:line="400" w:lineRule="exact"/>
              <w:jc w:val="center"/>
              <w:rPr>
                <w:rFonts w:hint="eastAsia" w:ascii="宋体" w:hAnsi="宋体" w:cs="宋体"/>
                <w:color w:val="000000"/>
                <w:sz w:val="24"/>
                <w:szCs w:val="24"/>
                <w:lang w:val="en-US" w:eastAsia="zh-CN"/>
              </w:rPr>
            </w:pPr>
          </w:p>
        </w:tc>
        <w:tc>
          <w:tcPr>
            <w:tcW w:w="1057" w:type="dxa"/>
            <w:noWrap w:val="0"/>
            <w:vAlign w:val="center"/>
          </w:tcPr>
          <w:p w14:paraId="693E4374">
            <w:pPr>
              <w:widowControl/>
              <w:spacing w:line="400" w:lineRule="exact"/>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3</w:t>
            </w:r>
          </w:p>
        </w:tc>
        <w:tc>
          <w:tcPr>
            <w:tcW w:w="2568" w:type="dxa"/>
            <w:noWrap w:val="0"/>
            <w:vAlign w:val="top"/>
          </w:tcPr>
          <w:p w14:paraId="5914B724">
            <w:pPr>
              <w:spacing w:beforeLines="0" w:afterLines="0"/>
              <w:jc w:val="center"/>
              <w:rPr>
                <w:rFonts w:hint="eastAsia" w:ascii="宋体" w:hAnsi="宋体"/>
                <w:color w:val="000000"/>
                <w:kern w:val="2"/>
                <w:sz w:val="22"/>
                <w:szCs w:val="24"/>
                <w:lang w:val="en-US" w:eastAsia="zh-CN" w:bidi="ar-SA"/>
              </w:rPr>
            </w:pPr>
            <w:r>
              <w:rPr>
                <w:rFonts w:hint="eastAsia" w:ascii="宋体" w:hAnsi="宋体"/>
                <w:color w:val="000000"/>
                <w:sz w:val="22"/>
                <w:szCs w:val="24"/>
              </w:rPr>
              <w:t>一次性使用无菌皮肤滚针</w:t>
            </w:r>
          </w:p>
        </w:tc>
        <w:tc>
          <w:tcPr>
            <w:tcW w:w="1400" w:type="dxa"/>
            <w:noWrap w:val="0"/>
            <w:vAlign w:val="center"/>
          </w:tcPr>
          <w:p w14:paraId="2B094359">
            <w:pPr>
              <w:pStyle w:val="52"/>
              <w:spacing w:before="120" w:beforeLines="50" w:beforeAutospacing="0" w:after="0" w:afterAutospacing="0" w:line="400" w:lineRule="exact"/>
              <w:jc w:val="center"/>
              <w:rPr>
                <w:rFonts w:hint="eastAsia" w:ascii="宋体" w:hAnsi="宋体" w:eastAsia="宋体" w:cs="宋体"/>
                <w:color w:val="000000"/>
                <w:kern w:val="2"/>
                <w:szCs w:val="24"/>
                <w:lang w:val="en-US" w:eastAsia="zh-CN"/>
              </w:rPr>
            </w:pPr>
            <w:r>
              <w:rPr>
                <w:rFonts w:hint="eastAsia" w:ascii="宋体" w:hAnsi="宋体" w:eastAsia="宋体" w:cs="宋体"/>
                <w:color w:val="000000"/>
                <w:kern w:val="2"/>
                <w:szCs w:val="24"/>
                <w:lang w:val="en-US" w:eastAsia="zh-CN"/>
              </w:rPr>
              <w:t>按实结算</w:t>
            </w:r>
          </w:p>
        </w:tc>
        <w:tc>
          <w:tcPr>
            <w:tcW w:w="1462" w:type="dxa"/>
            <w:vMerge w:val="continue"/>
            <w:noWrap w:val="0"/>
            <w:vAlign w:val="center"/>
          </w:tcPr>
          <w:p w14:paraId="576098F0">
            <w:pPr>
              <w:pStyle w:val="52"/>
              <w:spacing w:before="120" w:beforeLines="50" w:beforeAutospacing="0" w:after="0" w:afterAutospacing="0" w:line="400" w:lineRule="exact"/>
              <w:jc w:val="center"/>
              <w:rPr>
                <w:rFonts w:hint="eastAsia" w:ascii="宋体" w:hAnsi="宋体" w:eastAsia="宋体" w:cs="宋体"/>
                <w:color w:val="000000"/>
                <w:kern w:val="2"/>
                <w:szCs w:val="24"/>
              </w:rPr>
            </w:pPr>
          </w:p>
        </w:tc>
        <w:tc>
          <w:tcPr>
            <w:tcW w:w="1462" w:type="dxa"/>
            <w:vMerge w:val="continue"/>
            <w:tcBorders/>
            <w:noWrap w:val="0"/>
            <w:vAlign w:val="center"/>
          </w:tcPr>
          <w:p w14:paraId="23C12755">
            <w:pPr>
              <w:pStyle w:val="52"/>
              <w:spacing w:before="120" w:beforeLines="50" w:beforeAutospacing="0" w:after="0" w:afterAutospacing="0" w:line="400" w:lineRule="exact"/>
              <w:jc w:val="center"/>
              <w:rPr>
                <w:rFonts w:hint="eastAsia" w:ascii="宋体" w:hAnsi="宋体" w:eastAsia="宋体" w:cs="宋体"/>
                <w:color w:val="000000"/>
                <w:kern w:val="2"/>
                <w:szCs w:val="24"/>
              </w:rPr>
            </w:pPr>
          </w:p>
        </w:tc>
      </w:tr>
      <w:tr w14:paraId="4522D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23" w:type="dxa"/>
            <w:vMerge w:val="continue"/>
            <w:noWrap w:val="0"/>
            <w:vAlign w:val="center"/>
          </w:tcPr>
          <w:p w14:paraId="5B076F95">
            <w:pPr>
              <w:widowControl/>
              <w:spacing w:line="400" w:lineRule="exact"/>
              <w:jc w:val="center"/>
              <w:rPr>
                <w:rFonts w:hint="default" w:ascii="宋体" w:hAnsi="宋体" w:cs="宋体"/>
                <w:color w:val="000000"/>
                <w:sz w:val="24"/>
                <w:szCs w:val="24"/>
                <w:lang w:val="en-US" w:eastAsia="zh-CN"/>
              </w:rPr>
            </w:pPr>
          </w:p>
        </w:tc>
        <w:tc>
          <w:tcPr>
            <w:tcW w:w="1057" w:type="dxa"/>
            <w:noWrap w:val="0"/>
            <w:vAlign w:val="center"/>
          </w:tcPr>
          <w:p w14:paraId="244F6111">
            <w:pPr>
              <w:widowControl/>
              <w:spacing w:line="400" w:lineRule="exact"/>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4</w:t>
            </w:r>
          </w:p>
        </w:tc>
        <w:tc>
          <w:tcPr>
            <w:tcW w:w="2568" w:type="dxa"/>
            <w:noWrap w:val="0"/>
            <w:vAlign w:val="top"/>
          </w:tcPr>
          <w:p w14:paraId="04F63B53">
            <w:pPr>
              <w:spacing w:beforeLines="0" w:afterLines="0"/>
              <w:jc w:val="center"/>
              <w:rPr>
                <w:rFonts w:hint="eastAsia" w:ascii="宋体" w:hAnsi="宋体"/>
                <w:color w:val="000000"/>
                <w:kern w:val="2"/>
                <w:sz w:val="22"/>
                <w:szCs w:val="24"/>
                <w:lang w:val="en-US" w:eastAsia="zh-CN" w:bidi="ar-SA"/>
              </w:rPr>
            </w:pPr>
            <w:r>
              <w:rPr>
                <w:rFonts w:hint="eastAsia" w:ascii="宋体" w:hAnsi="宋体"/>
                <w:color w:val="000000"/>
                <w:sz w:val="22"/>
                <w:szCs w:val="24"/>
              </w:rPr>
              <w:t>注射用交联透明质酸钠凝胶</w:t>
            </w:r>
          </w:p>
        </w:tc>
        <w:tc>
          <w:tcPr>
            <w:tcW w:w="1400" w:type="dxa"/>
            <w:noWrap w:val="0"/>
            <w:vAlign w:val="center"/>
          </w:tcPr>
          <w:p w14:paraId="706CCF5F">
            <w:pPr>
              <w:pStyle w:val="52"/>
              <w:spacing w:before="120" w:beforeLines="50" w:beforeAutospacing="0" w:after="0" w:afterAutospacing="0" w:line="400" w:lineRule="exact"/>
              <w:jc w:val="center"/>
              <w:rPr>
                <w:rFonts w:hint="eastAsia" w:ascii="宋体" w:hAnsi="宋体" w:eastAsia="宋体" w:cs="宋体"/>
                <w:color w:val="000000"/>
                <w:kern w:val="2"/>
                <w:szCs w:val="24"/>
                <w:lang w:val="en-US" w:eastAsia="zh-CN"/>
              </w:rPr>
            </w:pPr>
            <w:r>
              <w:rPr>
                <w:rFonts w:hint="eastAsia" w:ascii="宋体" w:hAnsi="宋体" w:eastAsia="宋体" w:cs="宋体"/>
                <w:color w:val="000000"/>
                <w:kern w:val="2"/>
                <w:szCs w:val="24"/>
                <w:lang w:val="en-US" w:eastAsia="zh-CN"/>
              </w:rPr>
              <w:t>按实结算</w:t>
            </w:r>
          </w:p>
        </w:tc>
        <w:tc>
          <w:tcPr>
            <w:tcW w:w="1462" w:type="dxa"/>
            <w:vMerge w:val="continue"/>
            <w:noWrap w:val="0"/>
            <w:vAlign w:val="center"/>
          </w:tcPr>
          <w:p w14:paraId="31F230D4">
            <w:pPr>
              <w:pStyle w:val="52"/>
              <w:spacing w:before="120" w:beforeLines="50" w:beforeAutospacing="0" w:after="0" w:afterAutospacing="0" w:line="400" w:lineRule="exact"/>
              <w:jc w:val="center"/>
              <w:rPr>
                <w:rFonts w:hint="eastAsia" w:ascii="宋体" w:hAnsi="宋体" w:eastAsia="宋体" w:cs="宋体"/>
                <w:color w:val="000000"/>
                <w:kern w:val="2"/>
                <w:szCs w:val="24"/>
              </w:rPr>
            </w:pPr>
          </w:p>
        </w:tc>
        <w:tc>
          <w:tcPr>
            <w:tcW w:w="1462" w:type="dxa"/>
            <w:vMerge w:val="continue"/>
            <w:tcBorders/>
            <w:noWrap w:val="0"/>
            <w:vAlign w:val="center"/>
          </w:tcPr>
          <w:p w14:paraId="18CCC680">
            <w:pPr>
              <w:pStyle w:val="52"/>
              <w:spacing w:before="120" w:beforeLines="50" w:beforeAutospacing="0" w:after="0" w:afterAutospacing="0" w:line="400" w:lineRule="exact"/>
              <w:jc w:val="center"/>
              <w:rPr>
                <w:rFonts w:hint="eastAsia" w:ascii="宋体" w:hAnsi="宋体" w:eastAsia="宋体" w:cs="宋体"/>
                <w:color w:val="000000"/>
                <w:kern w:val="2"/>
                <w:szCs w:val="24"/>
              </w:rPr>
            </w:pPr>
          </w:p>
        </w:tc>
      </w:tr>
      <w:tr w14:paraId="30763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23" w:type="dxa"/>
            <w:vMerge w:val="continue"/>
            <w:noWrap w:val="0"/>
            <w:vAlign w:val="center"/>
          </w:tcPr>
          <w:p w14:paraId="3B7A5D2F">
            <w:pPr>
              <w:widowControl/>
              <w:spacing w:line="400" w:lineRule="exact"/>
              <w:jc w:val="center"/>
              <w:rPr>
                <w:rFonts w:hint="eastAsia" w:ascii="宋体" w:hAnsi="宋体" w:cs="宋体"/>
                <w:color w:val="000000"/>
                <w:sz w:val="24"/>
                <w:szCs w:val="24"/>
                <w:lang w:val="en-US" w:eastAsia="zh-CN"/>
              </w:rPr>
            </w:pPr>
          </w:p>
        </w:tc>
        <w:tc>
          <w:tcPr>
            <w:tcW w:w="1057" w:type="dxa"/>
            <w:noWrap w:val="0"/>
            <w:vAlign w:val="center"/>
          </w:tcPr>
          <w:p w14:paraId="7214B362">
            <w:pPr>
              <w:widowControl/>
              <w:spacing w:line="400" w:lineRule="exact"/>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5</w:t>
            </w:r>
          </w:p>
        </w:tc>
        <w:tc>
          <w:tcPr>
            <w:tcW w:w="2568" w:type="dxa"/>
            <w:noWrap w:val="0"/>
            <w:vAlign w:val="top"/>
          </w:tcPr>
          <w:p w14:paraId="4BB334EF">
            <w:pPr>
              <w:spacing w:beforeLines="0" w:afterLines="0"/>
              <w:jc w:val="center"/>
              <w:rPr>
                <w:rFonts w:hint="eastAsia" w:ascii="宋体" w:hAnsi="宋体"/>
                <w:color w:val="000000"/>
                <w:kern w:val="2"/>
                <w:sz w:val="22"/>
                <w:szCs w:val="24"/>
                <w:lang w:val="en-US" w:eastAsia="zh-CN" w:bidi="ar-SA"/>
              </w:rPr>
            </w:pPr>
            <w:r>
              <w:rPr>
                <w:rFonts w:hint="eastAsia" w:ascii="宋体" w:hAnsi="宋体"/>
                <w:color w:val="000000"/>
                <w:sz w:val="22"/>
                <w:szCs w:val="24"/>
              </w:rPr>
              <w:t>注射用修饰透明质酸钠凝胶</w:t>
            </w:r>
          </w:p>
        </w:tc>
        <w:tc>
          <w:tcPr>
            <w:tcW w:w="1400" w:type="dxa"/>
            <w:noWrap w:val="0"/>
            <w:vAlign w:val="center"/>
          </w:tcPr>
          <w:p w14:paraId="74A1D385">
            <w:pPr>
              <w:pStyle w:val="52"/>
              <w:spacing w:before="120" w:beforeLines="50" w:beforeAutospacing="0" w:after="0" w:afterAutospacing="0" w:line="400" w:lineRule="exact"/>
              <w:jc w:val="center"/>
              <w:rPr>
                <w:rFonts w:hint="eastAsia" w:ascii="宋体" w:hAnsi="宋体" w:eastAsia="宋体" w:cs="宋体"/>
                <w:color w:val="000000"/>
                <w:kern w:val="2"/>
                <w:szCs w:val="24"/>
                <w:lang w:val="en-US" w:eastAsia="zh-CN"/>
              </w:rPr>
            </w:pPr>
            <w:r>
              <w:rPr>
                <w:rFonts w:hint="eastAsia" w:ascii="宋体" w:hAnsi="宋体" w:eastAsia="宋体" w:cs="宋体"/>
                <w:color w:val="000000"/>
                <w:kern w:val="2"/>
                <w:szCs w:val="24"/>
                <w:lang w:val="en-US" w:eastAsia="zh-CN"/>
              </w:rPr>
              <w:t>按实结算</w:t>
            </w:r>
          </w:p>
        </w:tc>
        <w:tc>
          <w:tcPr>
            <w:tcW w:w="1462" w:type="dxa"/>
            <w:vMerge w:val="continue"/>
            <w:noWrap w:val="0"/>
            <w:vAlign w:val="center"/>
          </w:tcPr>
          <w:p w14:paraId="1A09006B">
            <w:pPr>
              <w:pStyle w:val="52"/>
              <w:spacing w:before="120" w:beforeLines="50" w:beforeAutospacing="0" w:after="0" w:afterAutospacing="0" w:line="400" w:lineRule="exact"/>
              <w:jc w:val="center"/>
              <w:rPr>
                <w:rFonts w:hint="eastAsia" w:ascii="宋体" w:hAnsi="宋体" w:eastAsia="宋体" w:cs="宋体"/>
                <w:color w:val="000000"/>
                <w:kern w:val="2"/>
                <w:szCs w:val="24"/>
              </w:rPr>
            </w:pPr>
          </w:p>
        </w:tc>
        <w:tc>
          <w:tcPr>
            <w:tcW w:w="1462" w:type="dxa"/>
            <w:vMerge w:val="continue"/>
            <w:tcBorders/>
            <w:noWrap w:val="0"/>
            <w:vAlign w:val="center"/>
          </w:tcPr>
          <w:p w14:paraId="53BD6C94">
            <w:pPr>
              <w:pStyle w:val="52"/>
              <w:spacing w:before="120" w:beforeLines="50" w:beforeAutospacing="0" w:after="0" w:afterAutospacing="0" w:line="400" w:lineRule="exact"/>
              <w:jc w:val="center"/>
              <w:rPr>
                <w:rFonts w:hint="eastAsia" w:ascii="宋体" w:hAnsi="宋体" w:eastAsia="宋体" w:cs="宋体"/>
                <w:color w:val="000000"/>
                <w:kern w:val="2"/>
                <w:szCs w:val="24"/>
              </w:rPr>
            </w:pPr>
          </w:p>
        </w:tc>
      </w:tr>
      <w:tr w14:paraId="5EF2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023" w:type="dxa"/>
            <w:noWrap w:val="0"/>
            <w:vAlign w:val="center"/>
          </w:tcPr>
          <w:p w14:paraId="71636C32">
            <w:pPr>
              <w:widowControl/>
              <w:spacing w:line="400" w:lineRule="exact"/>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包二</w:t>
            </w:r>
          </w:p>
        </w:tc>
        <w:tc>
          <w:tcPr>
            <w:tcW w:w="1057" w:type="dxa"/>
            <w:noWrap w:val="0"/>
            <w:vAlign w:val="center"/>
          </w:tcPr>
          <w:p w14:paraId="0E349E6A">
            <w:pPr>
              <w:widowControl/>
              <w:spacing w:line="400" w:lineRule="exact"/>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1</w:t>
            </w:r>
          </w:p>
        </w:tc>
        <w:tc>
          <w:tcPr>
            <w:tcW w:w="2568" w:type="dxa"/>
            <w:noWrap w:val="0"/>
            <w:vAlign w:val="top"/>
          </w:tcPr>
          <w:p w14:paraId="0DABEED6">
            <w:pPr>
              <w:spacing w:beforeLines="0" w:afterLines="0"/>
              <w:jc w:val="center"/>
              <w:rPr>
                <w:rFonts w:hint="eastAsia" w:ascii="宋体" w:hAnsi="宋体"/>
                <w:color w:val="000000"/>
                <w:kern w:val="2"/>
                <w:sz w:val="22"/>
                <w:szCs w:val="24"/>
                <w:lang w:val="en-US" w:eastAsia="zh-CN" w:bidi="ar-SA"/>
              </w:rPr>
            </w:pPr>
            <w:r>
              <w:rPr>
                <w:rFonts w:hint="eastAsia" w:ascii="宋体" w:hAnsi="宋体"/>
                <w:color w:val="000000"/>
                <w:sz w:val="22"/>
                <w:szCs w:val="24"/>
              </w:rPr>
              <w:t>注射用透明质酸钠复合溶液</w:t>
            </w:r>
          </w:p>
        </w:tc>
        <w:tc>
          <w:tcPr>
            <w:tcW w:w="1400" w:type="dxa"/>
            <w:noWrap w:val="0"/>
            <w:vAlign w:val="center"/>
          </w:tcPr>
          <w:p w14:paraId="0B4C5690">
            <w:pPr>
              <w:pStyle w:val="52"/>
              <w:spacing w:before="120" w:beforeLines="50" w:beforeAutospacing="0" w:after="0" w:afterAutospacing="0" w:line="400" w:lineRule="exact"/>
              <w:jc w:val="center"/>
              <w:rPr>
                <w:rFonts w:hint="eastAsia" w:ascii="宋体" w:hAnsi="宋体" w:eastAsia="宋体" w:cs="宋体"/>
                <w:color w:val="000000"/>
                <w:kern w:val="2"/>
                <w:szCs w:val="24"/>
                <w:lang w:val="en-US" w:eastAsia="zh-CN"/>
              </w:rPr>
            </w:pPr>
            <w:r>
              <w:rPr>
                <w:rFonts w:hint="eastAsia" w:ascii="宋体" w:hAnsi="宋体" w:eastAsia="宋体" w:cs="宋体"/>
                <w:color w:val="000000"/>
                <w:kern w:val="2"/>
                <w:szCs w:val="24"/>
                <w:lang w:val="en-US" w:eastAsia="zh-CN"/>
              </w:rPr>
              <w:t>按实结算</w:t>
            </w:r>
          </w:p>
        </w:tc>
        <w:tc>
          <w:tcPr>
            <w:tcW w:w="1462" w:type="dxa"/>
            <w:noWrap w:val="0"/>
            <w:vAlign w:val="center"/>
          </w:tcPr>
          <w:p w14:paraId="4D65D92D">
            <w:pPr>
              <w:pStyle w:val="52"/>
              <w:spacing w:before="120" w:beforeLines="50" w:beforeAutospacing="0" w:after="0" w:afterAutospacing="0" w:line="400" w:lineRule="exact"/>
              <w:jc w:val="center"/>
              <w:rPr>
                <w:rFonts w:hint="eastAsia" w:ascii="宋体" w:hAnsi="宋体" w:eastAsia="宋体" w:cs="宋体"/>
                <w:color w:val="000000"/>
                <w:kern w:val="2"/>
                <w:szCs w:val="24"/>
              </w:rPr>
            </w:pPr>
            <w:r>
              <w:rPr>
                <w:rFonts w:hint="eastAsia" w:ascii="宋体" w:hAnsi="宋体" w:eastAsia="宋体" w:cs="宋体"/>
                <w:color w:val="000000"/>
                <w:kern w:val="2"/>
                <w:szCs w:val="24"/>
              </w:rPr>
              <w:t>1</w:t>
            </w:r>
          </w:p>
        </w:tc>
        <w:tc>
          <w:tcPr>
            <w:tcW w:w="1462" w:type="dxa"/>
            <w:vMerge w:val="continue"/>
            <w:tcBorders/>
            <w:noWrap w:val="0"/>
            <w:vAlign w:val="center"/>
          </w:tcPr>
          <w:p w14:paraId="3D4546FE">
            <w:pPr>
              <w:pStyle w:val="52"/>
              <w:spacing w:before="120" w:beforeLines="50" w:beforeAutospacing="0" w:after="0" w:afterAutospacing="0" w:line="400" w:lineRule="exact"/>
              <w:jc w:val="center"/>
              <w:rPr>
                <w:rFonts w:hint="eastAsia" w:ascii="宋体" w:hAnsi="宋体" w:eastAsia="宋体" w:cs="宋体"/>
                <w:color w:val="000000"/>
                <w:kern w:val="2"/>
                <w:szCs w:val="24"/>
              </w:rPr>
            </w:pPr>
          </w:p>
        </w:tc>
      </w:tr>
      <w:bookmarkEnd w:id="20"/>
    </w:tbl>
    <w:p w14:paraId="40D11194">
      <w:pPr>
        <w:widowControl/>
        <w:spacing w:before="120" w:beforeLines="50"/>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注：1.该项目支持按照以上分包分别报名。</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3</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12B0148C">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.本项目是/否接受联合竞选：否</w:t>
      </w:r>
    </w:p>
    <w:p w14:paraId="0A4C3E50">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2"/>
        <w:rPr>
          <w:rFonts w:hint="eastAsia"/>
          <w:color w:val="auto"/>
        </w:rPr>
      </w:pPr>
      <w:bookmarkStart w:id="22" w:name="_Toc26504"/>
      <w:bookmarkStart w:id="23" w:name="_Toc30358"/>
      <w:bookmarkStart w:id="24" w:name="_Toc25496"/>
      <w:bookmarkStart w:id="25" w:name="_Toc3434"/>
      <w:bookmarkStart w:id="26" w:name="_Toc76373866"/>
      <w:bookmarkStart w:id="27" w:name="_Toc10137"/>
    </w:p>
    <w:p w14:paraId="097A23D8">
      <w:pPr>
        <w:widowControl/>
        <w:spacing w:line="400" w:lineRule="exact"/>
        <w:outlineLvl w:val="1"/>
        <w:rPr>
          <w:rFonts w:hint="eastAsia" w:ascii="宋体" w:hAnsi="宋体" w:cs="宋体"/>
          <w:b/>
          <w:color w:val="auto"/>
          <w:sz w:val="24"/>
        </w:rPr>
      </w:pPr>
      <w:bookmarkStart w:id="28"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22"/>
      <w:bookmarkEnd w:id="23"/>
      <w:bookmarkEnd w:id="24"/>
      <w:bookmarkEnd w:id="25"/>
      <w:bookmarkEnd w:id="26"/>
      <w:bookmarkEnd w:id="27"/>
      <w:bookmarkEnd w:id="28"/>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29" w:name="_Toc2529"/>
      <w:bookmarkStart w:id="30" w:name="_Toc7015"/>
      <w:r>
        <w:rPr>
          <w:rFonts w:hint="eastAsia" w:ascii="宋体" w:hAnsi="宋体" w:cs="宋体"/>
          <w:b/>
          <w:color w:val="auto"/>
          <w:sz w:val="24"/>
        </w:rPr>
        <w:t>三、竞选有关规定</w:t>
      </w:r>
      <w:bookmarkEnd w:id="29"/>
      <w:r>
        <w:rPr>
          <w:rFonts w:hint="eastAsia" w:ascii="宋体" w:hAnsi="宋体" w:cs="宋体"/>
          <w:b/>
          <w:color w:val="auto"/>
          <w:sz w:val="24"/>
        </w:rPr>
        <w:t>及说明</w:t>
      </w:r>
      <w:bookmarkEnd w:id="30"/>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31" w:name="_Toc6749"/>
      <w:bookmarkStart w:id="32" w:name="_Toc17341"/>
      <w:bookmarkStart w:id="33" w:name="_Toc7527"/>
      <w:bookmarkStart w:id="34" w:name="_Toc654"/>
      <w:bookmarkStart w:id="35" w:name="_Toc18799"/>
      <w:bookmarkStart w:id="36" w:name="_Toc28099"/>
      <w:r>
        <w:rPr>
          <w:rFonts w:hint="eastAsia" w:ascii="宋体" w:hAnsi="宋体" w:cs="宋体"/>
          <w:b/>
          <w:bCs/>
          <w:color w:val="auto"/>
          <w:sz w:val="24"/>
          <w:szCs w:val="24"/>
        </w:rPr>
        <w:t>四、报名时间、地点、方式</w:t>
      </w:r>
      <w:bookmarkEnd w:id="31"/>
      <w:bookmarkEnd w:id="32"/>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7"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8" w:name="OLE_LINK1"/>
      <w:r>
        <w:rPr>
          <w:rFonts w:hint="default" w:ascii="Times New Roman" w:hAnsi="Times New Roman" w:cs="Times New Roman"/>
          <w:b w:val="0"/>
          <w:bCs/>
          <w:color w:val="auto"/>
          <w:kern w:val="0"/>
          <w:sz w:val="24"/>
          <w:szCs w:val="24"/>
          <w:u w:val="single"/>
        </w:rPr>
        <w:t>3474005023@qq.com</w:t>
      </w:r>
      <w:bookmarkEnd w:id="38"/>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皮肤与医疗美容中心</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皮肤与医疗美容中心</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9" w:name="OLE_LINK2"/>
      <w:r>
        <w:rPr>
          <w:rFonts w:hint="default" w:ascii="Times New Roman" w:hAnsi="Times New Roman" w:cs="Times New Roman"/>
          <w:b w:val="0"/>
          <w:bCs/>
          <w:color w:val="auto"/>
          <w:kern w:val="0"/>
          <w:sz w:val="24"/>
          <w:szCs w:val="24"/>
          <w:lang w:val="en-US" w:eastAsia="zh-CN"/>
        </w:rPr>
        <w:t>PDF文档</w:t>
      </w:r>
      <w:bookmarkEnd w:id="39"/>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皮肤与医疗美容中心</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bookmarkStart w:id="199" w:name="_GoBack"/>
      <w:bookmarkEnd w:id="199"/>
      <w:r>
        <w:rPr>
          <w:rFonts w:hint="eastAsia" w:ascii="宋体" w:hAnsi="宋体" w:cs="宋体"/>
          <w:color w:val="auto"/>
          <w:sz w:val="24"/>
          <w:szCs w:val="24"/>
          <w:u w:val="single"/>
          <w:lang w:val="en-US" w:eastAsia="zh-CN"/>
        </w:rPr>
        <w:t>皮肤与医疗美容中心</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40"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41"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41"/>
      <w:r>
        <w:rPr>
          <w:rFonts w:hint="eastAsia" w:ascii="宋体" w:hAnsi="宋体" w:eastAsia="宋体" w:cs="宋体"/>
          <w:color w:val="auto"/>
          <w:sz w:val="24"/>
          <w:szCs w:val="24"/>
          <w:lang w:eastAsia="zh-CN"/>
        </w:rPr>
        <w:t>。</w:t>
      </w:r>
      <w:bookmarkEnd w:id="40"/>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42" w:name="_Toc768"/>
      <w:bookmarkStart w:id="43" w:name="_Toc18950"/>
      <w:r>
        <w:rPr>
          <w:rFonts w:hint="eastAsia" w:ascii="宋体" w:hAnsi="宋体" w:cs="宋体"/>
          <w:b/>
          <w:color w:val="auto"/>
          <w:sz w:val="24"/>
        </w:rPr>
        <w:t>五、竞选文件递交与采购谈判时间、地点</w:t>
      </w:r>
      <w:bookmarkEnd w:id="42"/>
      <w:bookmarkEnd w:id="43"/>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44" w:name="_Toc829"/>
      <w:r>
        <w:rPr>
          <w:rFonts w:hint="eastAsia" w:ascii="宋体" w:hAnsi="宋体" w:cs="宋体"/>
          <w:b/>
          <w:color w:val="auto"/>
          <w:sz w:val="24"/>
        </w:rPr>
        <w:t>六、联系方式</w:t>
      </w:r>
      <w:bookmarkEnd w:id="37"/>
      <w:bookmarkEnd w:id="44"/>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BBC9107">
      <w:pPr>
        <w:widowControl/>
        <w:spacing w:line="400" w:lineRule="exact"/>
        <w:ind w:firstLine="480" w:firstLineChars="200"/>
        <w:rPr>
          <w:rFonts w:hint="default" w:ascii="宋体" w:hAnsi="宋体" w:eastAsia="宋体" w:cs="宋体"/>
          <w:color w:val="auto"/>
          <w:sz w:val="24"/>
          <w:szCs w:val="24"/>
          <w:lang w:val="en-US" w:eastAsia="zh-CN"/>
        </w:rPr>
      </w:pPr>
      <w:bookmarkStart w:id="45" w:name="_Toc869"/>
      <w:r>
        <w:rPr>
          <w:rFonts w:hint="eastAsia" w:ascii="宋体" w:hAnsi="宋体" w:cs="宋体"/>
          <w:color w:val="auto"/>
          <w:sz w:val="24"/>
          <w:szCs w:val="24"/>
        </w:rPr>
        <w:t>项目联系人电话：</w:t>
      </w:r>
      <w:bookmarkEnd w:id="45"/>
      <w:r>
        <w:rPr>
          <w:rFonts w:hint="eastAsia" w:ascii="宋体" w:hAnsi="宋体" w:cs="宋体"/>
          <w:color w:val="auto"/>
          <w:sz w:val="24"/>
          <w:szCs w:val="24"/>
          <w:lang w:val="en-US" w:eastAsia="zh-CN"/>
        </w:rPr>
        <w:t>023-63693920</w:t>
      </w:r>
    </w:p>
    <w:bookmarkEnd w:id="33"/>
    <w:bookmarkEnd w:id="34"/>
    <w:bookmarkEnd w:id="35"/>
    <w:bookmarkEnd w:id="36"/>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6" w:name="_Toc14224"/>
      <w:bookmarkStart w:id="47" w:name="_Toc4033"/>
      <w:bookmarkStart w:id="48" w:name="_Toc25272"/>
      <w:bookmarkStart w:id="49" w:name="_Toc9714"/>
      <w:bookmarkStart w:id="50" w:name="_Toc76373872"/>
      <w:bookmarkStart w:id="51" w:name="_Toc20138"/>
      <w:bookmarkStart w:id="52" w:name="_Toc21905"/>
      <w:r>
        <w:rPr>
          <w:rFonts w:hint="eastAsia" w:ascii="宋体" w:hAnsi="宋体" w:cs="宋体"/>
          <w:b/>
          <w:color w:val="auto"/>
          <w:szCs w:val="36"/>
        </w:rPr>
        <w:t xml:space="preserve">第二篇 </w:t>
      </w:r>
      <w:bookmarkEnd w:id="46"/>
      <w:bookmarkEnd w:id="47"/>
      <w:bookmarkEnd w:id="48"/>
      <w:bookmarkEnd w:id="49"/>
      <w:bookmarkEnd w:id="50"/>
      <w:r>
        <w:rPr>
          <w:rFonts w:hint="eastAsia" w:ascii="宋体" w:hAnsi="宋体" w:cs="宋体"/>
          <w:b/>
          <w:color w:val="auto"/>
          <w:szCs w:val="36"/>
        </w:rPr>
        <w:t>技术（质量）与商务需求</w:t>
      </w:r>
      <w:bookmarkEnd w:id="51"/>
      <w:bookmarkEnd w:id="52"/>
    </w:p>
    <w:p w14:paraId="26427D13">
      <w:pPr>
        <w:widowControl/>
        <w:spacing w:before="120" w:beforeLines="50" w:line="360" w:lineRule="exact"/>
        <w:outlineLvl w:val="1"/>
        <w:rPr>
          <w:rFonts w:hint="default"/>
          <w:lang w:val="en-US" w:eastAsia="zh-CN"/>
        </w:rPr>
      </w:pPr>
      <w:bookmarkStart w:id="53" w:name="_Toc32286"/>
      <w:r>
        <w:rPr>
          <w:rFonts w:hint="eastAsia" w:cs="宋体"/>
          <w:b/>
          <w:color w:val="auto"/>
          <w:sz w:val="24"/>
        </w:rPr>
        <w:t>一、</w:t>
      </w:r>
      <w:bookmarkStart w:id="54" w:name="_Toc11474"/>
      <w:bookmarkStart w:id="55" w:name="_Toc13391"/>
      <w:bookmarkStart w:id="56" w:name="_Toc3153"/>
      <w:bookmarkStart w:id="57" w:name="_Toc76373874"/>
      <w:bookmarkStart w:id="58" w:name="_Toc2599"/>
      <w:bookmarkStart w:id="59" w:name="_Toc27187"/>
      <w:bookmarkStart w:id="60" w:name="_Toc25148"/>
      <w:r>
        <w:rPr>
          <w:rFonts w:hint="eastAsia" w:cs="宋体"/>
          <w:b/>
          <w:color w:val="auto"/>
          <w:sz w:val="24"/>
        </w:rPr>
        <w:t>技术需求</w:t>
      </w:r>
      <w:bookmarkEnd w:id="54"/>
      <w:bookmarkEnd w:id="55"/>
      <w:bookmarkEnd w:id="56"/>
      <w:bookmarkEnd w:id="57"/>
      <w:bookmarkEnd w:id="58"/>
      <w:r>
        <w:rPr>
          <w:rFonts w:hint="eastAsia" w:cs="宋体"/>
          <w:b/>
          <w:color w:val="auto"/>
          <w:sz w:val="24"/>
        </w:rPr>
        <w:t>（含技术参数）</w:t>
      </w:r>
      <w:bookmarkEnd w:id="53"/>
      <w:bookmarkEnd w:id="59"/>
      <w:bookmarkEnd w:id="60"/>
      <w:bookmarkStart w:id="61" w:name="_Toc30465"/>
      <w:bookmarkStart w:id="62" w:name="_Toc76373876"/>
      <w:bookmarkStart w:id="63" w:name="_Toc29620"/>
      <w:bookmarkStart w:id="64" w:name="_Toc29225"/>
      <w:bookmarkStart w:id="65" w:name="_Toc6355"/>
      <w:bookmarkStart w:id="66" w:name="_Toc13107"/>
      <w:bookmarkStart w:id="67" w:name="_Toc1955"/>
    </w:p>
    <w:p w14:paraId="61DC6E28">
      <w:pPr>
        <w:widowControl/>
        <w:spacing w:before="120" w:beforeLines="50" w:line="360" w:lineRule="exact"/>
        <w:outlineLvl w:val="1"/>
        <w:rPr>
          <w:rFonts w:hint="eastAsia" w:eastAsia="宋体" w:cs="宋体"/>
          <w:b/>
          <w:sz w:val="24"/>
          <w:lang w:val="en-US" w:eastAsia="zh-CN"/>
        </w:rPr>
      </w:pPr>
      <w:r>
        <w:rPr>
          <w:rFonts w:hint="eastAsia" w:cs="宋体"/>
          <w:b/>
          <w:sz w:val="24"/>
          <w:lang w:val="en-US" w:eastAsia="zh-CN"/>
        </w:rPr>
        <w:t>包一：</w:t>
      </w:r>
    </w:p>
    <w:p w14:paraId="4B6BC65A">
      <w:pPr>
        <w:spacing w:line="320" w:lineRule="exact"/>
        <w:ind w:firstLine="241" w:firstLineChars="100"/>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分项</w:t>
      </w:r>
      <w:r>
        <w:rPr>
          <w:rFonts w:hint="default" w:ascii="Times New Roman" w:hAnsi="Times New Roman" w:eastAsia="宋体" w:cs="Times New Roman"/>
          <w:b/>
          <w:bCs/>
          <w:sz w:val="24"/>
          <w:szCs w:val="24"/>
          <w:lang w:val="en-US" w:eastAsia="zh-CN"/>
        </w:rPr>
        <w:t>1</w:t>
      </w:r>
      <w:r>
        <w:rPr>
          <w:rFonts w:hint="eastAsia"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sz w:val="24"/>
          <w:szCs w:val="24"/>
          <w:lang w:val="en-US" w:eastAsia="zh-CN"/>
        </w:rPr>
        <w:t>一次性使用无菌注射</w:t>
      </w:r>
      <w:r>
        <w:rPr>
          <w:rFonts w:hint="eastAsia" w:cs="Times New Roman"/>
          <w:b/>
          <w:bCs/>
          <w:sz w:val="24"/>
          <w:szCs w:val="24"/>
          <w:lang w:val="en-US" w:eastAsia="zh-CN"/>
        </w:rPr>
        <w:t>针</w:t>
      </w:r>
    </w:p>
    <w:p w14:paraId="2D1ED360">
      <w:pPr>
        <w:numPr>
          <w:ilvl w:val="0"/>
          <w:numId w:val="1"/>
        </w:numPr>
        <w:spacing w:line="320" w:lineRule="exact"/>
        <w:ind w:left="0" w:leftChars="0" w:firstLine="259" w:firstLineChars="108"/>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9针头，合规水光针头由导液接头、调节旋钮、粘合剂、针座、注胶套、壳体、针管、负压抽吸端组成；</w:t>
      </w:r>
    </w:p>
    <w:p w14:paraId="17664C6E">
      <w:pPr>
        <w:numPr>
          <w:ilvl w:val="0"/>
          <w:numId w:val="1"/>
        </w:numPr>
        <w:spacing w:line="320" w:lineRule="exact"/>
        <w:ind w:left="0" w:leftChars="0" w:firstLine="259" w:firstLineChars="108"/>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产品采用环氧乙烷灭菌，一次性使用；</w:t>
      </w:r>
    </w:p>
    <w:p w14:paraId="2A03E1F4">
      <w:pPr>
        <w:numPr>
          <w:ilvl w:val="0"/>
          <w:numId w:val="1"/>
        </w:numPr>
        <w:spacing w:line="320" w:lineRule="exact"/>
        <w:ind w:left="0" w:leftChars="0" w:firstLine="259" w:firstLineChars="108"/>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本产品与一次性使用无菌注射器装配后，配合电子注射器使用，用于面部真皮层注射透明质酸钠。</w:t>
      </w:r>
    </w:p>
    <w:p w14:paraId="7113565D">
      <w:pPr>
        <w:spacing w:line="320" w:lineRule="exact"/>
        <w:rPr>
          <w:rFonts w:hint="eastAsia" w:ascii="宋体" w:hAnsi="宋体" w:eastAsia="宋体" w:cs="宋体"/>
          <w:b w:val="0"/>
          <w:bCs w:val="0"/>
          <w:sz w:val="24"/>
          <w:szCs w:val="24"/>
          <w:highlight w:val="none"/>
          <w:lang w:val="en-US" w:eastAsia="zh-CN"/>
        </w:rPr>
      </w:pPr>
    </w:p>
    <w:p w14:paraId="3BC586A0">
      <w:pPr>
        <w:numPr>
          <w:ilvl w:val="0"/>
          <w:numId w:val="0"/>
        </w:numPr>
        <w:ind w:firstLine="241" w:firstLineChars="100"/>
        <w:rPr>
          <w:rFonts w:hint="default"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 xml:space="preserve">分项2 </w:t>
      </w:r>
      <w:r>
        <w:rPr>
          <w:rFonts w:hint="default" w:ascii="Times New Roman" w:hAnsi="Times New Roman" w:eastAsia="宋体" w:cs="Times New Roman"/>
          <w:b/>
          <w:bCs/>
          <w:sz w:val="24"/>
          <w:szCs w:val="24"/>
          <w:highlight w:val="none"/>
          <w:lang w:val="en-US" w:eastAsia="zh-CN"/>
        </w:rPr>
        <w:t>一次性使用钝末端注射针</w:t>
      </w:r>
    </w:p>
    <w:p w14:paraId="4A4BF05B">
      <w:pPr>
        <w:numPr>
          <w:ilvl w:val="0"/>
          <w:numId w:val="2"/>
        </w:numPr>
        <w:spacing w:line="320" w:lineRule="exact"/>
        <w:ind w:firstLine="240" w:firstLineChars="100"/>
        <w:rPr>
          <w:rFonts w:hint="eastAsia"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适用于与带有圆锥接头的注射器具装配后，用于医学整形填充手术中向真皮组织、皮下组织注射透明质酸钠凝胶</w:t>
      </w:r>
      <w:r>
        <w:rPr>
          <w:rFonts w:hint="eastAsia"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val="en-US" w:eastAsia="zh-CN"/>
        </w:rPr>
        <w:t>配合科室开展填充玻尿酸项目</w:t>
      </w:r>
      <w:r>
        <w:rPr>
          <w:rFonts w:hint="eastAsia" w:ascii="Times New Roman" w:hAnsi="Times New Roman" w:eastAsia="宋体" w:cs="Times New Roman"/>
          <w:sz w:val="24"/>
          <w:szCs w:val="24"/>
          <w:highlight w:val="none"/>
          <w:lang w:val="en-US" w:eastAsia="zh-CN"/>
        </w:rPr>
        <w:t>；</w:t>
      </w:r>
    </w:p>
    <w:p w14:paraId="368F118D">
      <w:pPr>
        <w:numPr>
          <w:ilvl w:val="0"/>
          <w:numId w:val="2"/>
        </w:numPr>
        <w:spacing w:line="320" w:lineRule="exact"/>
        <w:ind w:firstLine="240" w:firstLineChars="100"/>
        <w:rPr>
          <w:rFonts w:hint="default"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val="en-US" w:eastAsia="zh-CN"/>
        </w:rPr>
        <w:t>型号齐全，包含25G、27G钝针；</w:t>
      </w:r>
    </w:p>
    <w:p w14:paraId="20BAA5BA">
      <w:pPr>
        <w:numPr>
          <w:ilvl w:val="0"/>
          <w:numId w:val="2"/>
        </w:numPr>
        <w:spacing w:line="320" w:lineRule="exact"/>
        <w:ind w:firstLine="240" w:firstLineChars="100"/>
        <w:rPr>
          <w:rFonts w:hint="default" w:ascii="Times New Roman" w:hAnsi="Times New Roman" w:eastAsia="宋体" w:cs="Times New Roman"/>
          <w:sz w:val="24"/>
          <w:szCs w:val="24"/>
          <w:highlight w:val="none"/>
          <w:lang w:val="en-US" w:eastAsia="zh-CN"/>
        </w:rPr>
      </w:pPr>
      <w:r>
        <w:rPr>
          <w:rFonts w:hint="eastAsia" w:ascii="宋体" w:hAnsi="宋体" w:eastAsia="宋体" w:cs="宋体"/>
          <w:b w:val="0"/>
          <w:bCs w:val="0"/>
          <w:sz w:val="24"/>
          <w:szCs w:val="24"/>
          <w:highlight w:val="none"/>
          <w:lang w:val="en-US" w:eastAsia="zh-CN"/>
        </w:rPr>
        <w:t>产品采用环氧乙烷灭菌，一次性使用</w:t>
      </w:r>
      <w:r>
        <w:rPr>
          <w:rFonts w:hint="eastAsia" w:ascii="Times New Roman" w:hAnsi="Times New Roman" w:eastAsia="宋体" w:cs="Times New Roman"/>
          <w:sz w:val="24"/>
          <w:szCs w:val="24"/>
          <w:highlight w:val="none"/>
          <w:lang w:val="en-US" w:eastAsia="zh-CN"/>
        </w:rPr>
        <w:t>。</w:t>
      </w:r>
    </w:p>
    <w:p w14:paraId="3E5660DE">
      <w:pPr>
        <w:spacing w:line="320" w:lineRule="exact"/>
        <w:rPr>
          <w:rFonts w:hint="default" w:ascii="Times New Roman" w:hAnsi="Times New Roman" w:eastAsia="宋体" w:cs="Times New Roman"/>
          <w:sz w:val="24"/>
          <w:szCs w:val="24"/>
          <w:highlight w:val="none"/>
          <w:lang w:val="en-US" w:eastAsia="zh-CN"/>
        </w:rPr>
      </w:pPr>
    </w:p>
    <w:p w14:paraId="20459EB2">
      <w:pPr>
        <w:pStyle w:val="22"/>
        <w:numPr>
          <w:ilvl w:val="0"/>
          <w:numId w:val="0"/>
        </w:numPr>
        <w:ind w:firstLine="241" w:firstLineChars="100"/>
        <w:rPr>
          <w:rFonts w:hint="default" w:ascii="Times New Roman" w:hAnsi="Times New Roman" w:eastAsia="宋体" w:cs="Times New Roman"/>
          <w:b/>
          <w:bCs/>
          <w:i w:val="0"/>
          <w:iCs w:val="0"/>
          <w:sz w:val="24"/>
          <w:szCs w:val="24"/>
          <w:highlight w:val="none"/>
          <w:lang w:val="en-US" w:eastAsia="zh-CN"/>
        </w:rPr>
      </w:pPr>
      <w:r>
        <w:rPr>
          <w:rFonts w:hint="eastAsia" w:ascii="Times New Roman" w:hAnsi="Times New Roman" w:eastAsia="宋体" w:cs="Times New Roman"/>
          <w:b/>
          <w:bCs/>
          <w:i w:val="0"/>
          <w:iCs w:val="0"/>
          <w:sz w:val="24"/>
          <w:szCs w:val="24"/>
          <w:highlight w:val="none"/>
          <w:lang w:val="en-US" w:eastAsia="zh-CN"/>
        </w:rPr>
        <w:t xml:space="preserve">分项3 </w:t>
      </w:r>
      <w:r>
        <w:rPr>
          <w:rFonts w:hint="default" w:ascii="Times New Roman" w:hAnsi="Times New Roman" w:eastAsia="宋体" w:cs="Times New Roman"/>
          <w:b/>
          <w:bCs/>
          <w:sz w:val="24"/>
          <w:szCs w:val="24"/>
          <w:highlight w:val="none"/>
          <w:lang w:val="en-US" w:eastAsia="zh-CN"/>
        </w:rPr>
        <w:t>一次性使用无菌皮肤滚针</w:t>
      </w:r>
    </w:p>
    <w:p w14:paraId="4E1AA4B7">
      <w:pPr>
        <w:numPr>
          <w:ilvl w:val="0"/>
          <w:numId w:val="3"/>
        </w:numPr>
        <w:spacing w:line="320" w:lineRule="exact"/>
        <w:ind w:firstLine="240" w:firstLineChars="100"/>
        <w:rPr>
          <w:rFonts w:hint="eastAsia" w:ascii="Times New Roman" w:hAnsi="Times New Roman" w:eastAsia="宋体" w:cs="Times New Roman"/>
          <w:sz w:val="24"/>
          <w:szCs w:val="24"/>
          <w:highlight w:val="none"/>
          <w:lang w:val="en-US" w:eastAsia="zh-CN"/>
        </w:rPr>
      </w:pPr>
      <w:r>
        <w:rPr>
          <w:rFonts w:hint="eastAsia" w:ascii="宋体" w:hAnsi="宋体" w:eastAsia="宋体" w:cs="宋体"/>
          <w:i w:val="0"/>
          <w:iCs/>
          <w:sz w:val="24"/>
          <w:szCs w:val="24"/>
          <w:highlight w:val="none"/>
          <w:lang w:val="en-US" w:eastAsia="zh-CN"/>
        </w:rPr>
        <w:t>用于体表特定部位的局部刺激，实施滚针疗法；</w:t>
      </w:r>
    </w:p>
    <w:p w14:paraId="02A0F444">
      <w:pPr>
        <w:numPr>
          <w:ilvl w:val="0"/>
          <w:numId w:val="3"/>
        </w:numPr>
        <w:spacing w:line="320" w:lineRule="exact"/>
        <w:ind w:firstLine="240" w:firstLineChars="100"/>
        <w:rPr>
          <w:rFonts w:hint="eastAsia" w:ascii="宋体" w:hAnsi="宋体" w:eastAsia="宋体" w:cs="宋体"/>
          <w:i w:val="0"/>
          <w:iCs/>
          <w:sz w:val="24"/>
          <w:szCs w:val="24"/>
          <w:highlight w:val="none"/>
          <w:lang w:val="en-US" w:eastAsia="zh-CN"/>
        </w:rPr>
      </w:pPr>
      <w:r>
        <w:rPr>
          <w:rFonts w:hint="eastAsia" w:ascii="宋体" w:hAnsi="宋体" w:eastAsia="宋体" w:cs="宋体"/>
          <w:i w:val="0"/>
          <w:iCs/>
          <w:sz w:val="24"/>
          <w:szCs w:val="24"/>
          <w:highlight w:val="none"/>
          <w:lang w:val="en-US" w:eastAsia="zh-CN"/>
        </w:rPr>
        <w:t>一次性使用无菌皮肤滚针由手柄、支架、轴、针、滚轮片及滚轮组成，针由06Cr19Ni10不锈钢制成；手柄、支架、轴、滚轮片及滚轮由ABS制成；</w:t>
      </w:r>
    </w:p>
    <w:p w14:paraId="59A13EDE">
      <w:pPr>
        <w:numPr>
          <w:ilvl w:val="0"/>
          <w:numId w:val="3"/>
        </w:numPr>
        <w:spacing w:line="320" w:lineRule="exact"/>
        <w:ind w:firstLine="240" w:firstLineChars="100"/>
        <w:rPr>
          <w:rFonts w:hint="eastAsia" w:ascii="宋体" w:hAnsi="宋体" w:eastAsia="宋体" w:cs="宋体"/>
          <w:i w:val="0"/>
          <w:iCs/>
          <w:sz w:val="24"/>
          <w:szCs w:val="24"/>
          <w:highlight w:val="none"/>
          <w:lang w:val="en-US" w:eastAsia="zh-CN"/>
        </w:rPr>
      </w:pPr>
      <w:r>
        <w:rPr>
          <w:rFonts w:hint="eastAsia" w:ascii="宋体" w:hAnsi="宋体" w:eastAsia="宋体" w:cs="宋体"/>
          <w:i w:val="0"/>
          <w:iCs/>
          <w:sz w:val="24"/>
          <w:szCs w:val="24"/>
          <w:highlight w:val="none"/>
          <w:lang w:val="en-US" w:eastAsia="zh-CN"/>
        </w:rPr>
        <w:t>产品以无菌状态提供、经环氧乙烷灭菌，一次性使用。</w:t>
      </w:r>
    </w:p>
    <w:p w14:paraId="20330FC9">
      <w:pPr>
        <w:spacing w:line="320" w:lineRule="exact"/>
        <w:rPr>
          <w:rFonts w:hint="eastAsia"/>
          <w:highlight w:val="none"/>
          <w:lang w:val="en-US" w:eastAsia="zh-CN"/>
        </w:rPr>
      </w:pPr>
    </w:p>
    <w:p w14:paraId="64BC5159">
      <w:pPr>
        <w:spacing w:line="320" w:lineRule="exact"/>
        <w:ind w:firstLine="241" w:firstLineChars="100"/>
        <w:rPr>
          <w:rFonts w:hint="default" w:ascii="Times New Roman" w:hAnsi="Times New Roman" w:eastAsia="宋体" w:cs="Times New Roman"/>
          <w:b/>
          <w:bCs/>
          <w:i w:val="0"/>
          <w:kern w:val="2"/>
          <w:sz w:val="24"/>
          <w:szCs w:val="24"/>
          <w:highlight w:val="none"/>
          <w:lang w:val="en-US" w:eastAsia="zh-CN" w:bidi="ar-SA"/>
        </w:rPr>
      </w:pPr>
      <w:r>
        <w:rPr>
          <w:rFonts w:hint="eastAsia" w:ascii="Times New Roman" w:hAnsi="Times New Roman" w:eastAsia="宋体" w:cs="Times New Roman"/>
          <w:b/>
          <w:bCs/>
          <w:sz w:val="24"/>
          <w:szCs w:val="24"/>
          <w:highlight w:val="none"/>
          <w:lang w:val="en-US" w:eastAsia="zh-CN"/>
        </w:rPr>
        <w:t>分项</w:t>
      </w:r>
      <w:r>
        <w:rPr>
          <w:rFonts w:hint="eastAsia" w:cs="Times New Roman"/>
          <w:b/>
          <w:bCs/>
          <w:i w:val="0"/>
          <w:kern w:val="2"/>
          <w:sz w:val="24"/>
          <w:szCs w:val="24"/>
          <w:highlight w:val="none"/>
          <w:lang w:val="en-US" w:eastAsia="zh-CN" w:bidi="ar-SA"/>
        </w:rPr>
        <w:t>4</w:t>
      </w:r>
      <w:r>
        <w:rPr>
          <w:rFonts w:hint="eastAsia" w:ascii="Times New Roman" w:hAnsi="Times New Roman" w:eastAsia="宋体" w:cs="Times New Roman"/>
          <w:b/>
          <w:bCs/>
          <w:i w:val="0"/>
          <w:kern w:val="2"/>
          <w:sz w:val="24"/>
          <w:szCs w:val="24"/>
          <w:highlight w:val="none"/>
          <w:lang w:val="en-US" w:eastAsia="zh-CN" w:bidi="ar-SA"/>
        </w:rPr>
        <w:t xml:space="preserve">  </w:t>
      </w:r>
      <w:r>
        <w:rPr>
          <w:rFonts w:hint="default" w:ascii="Times New Roman" w:hAnsi="Times New Roman" w:eastAsia="宋体" w:cs="Times New Roman"/>
          <w:b/>
          <w:bCs/>
          <w:sz w:val="24"/>
          <w:szCs w:val="24"/>
          <w:highlight w:val="none"/>
          <w:lang w:val="en-US" w:eastAsia="zh-CN"/>
        </w:rPr>
        <w:t>注射用交联透明质酸钠凝胶</w:t>
      </w:r>
    </w:p>
    <w:p w14:paraId="03281CD1">
      <w:pPr>
        <w:numPr>
          <w:ilvl w:val="0"/>
          <w:numId w:val="0"/>
        </w:numPr>
        <w:spacing w:line="320" w:lineRule="exact"/>
        <w:ind w:firstLine="240" w:firstLineChars="100"/>
        <w:rPr>
          <w:rFonts w:hint="default" w:ascii="宋体" w:hAnsi="宋体" w:eastAsia="宋体" w:cs="宋体"/>
          <w:i w:val="0"/>
          <w:iCs/>
          <w:sz w:val="24"/>
          <w:szCs w:val="24"/>
          <w:highlight w:val="none"/>
          <w:lang w:val="en-US" w:eastAsia="zh-CN"/>
        </w:rPr>
      </w:pPr>
      <w:r>
        <w:rPr>
          <w:rFonts w:hint="eastAsia" w:ascii="宋体" w:hAnsi="宋体" w:eastAsia="宋体" w:cs="宋体"/>
          <w:i w:val="0"/>
          <w:iCs/>
          <w:sz w:val="24"/>
          <w:szCs w:val="24"/>
          <w:highlight w:val="none"/>
          <w:lang w:val="en-US" w:eastAsia="zh-CN"/>
        </w:rPr>
        <w:t>1、适应症：该产品用于面部真皮组织中层至深层注射以纠正中重度鼻唇部皱纹。</w:t>
      </w:r>
    </w:p>
    <w:p w14:paraId="0E4B20B0">
      <w:pPr>
        <w:numPr>
          <w:ilvl w:val="0"/>
          <w:numId w:val="0"/>
        </w:numPr>
        <w:spacing w:line="320" w:lineRule="exact"/>
        <w:ind w:firstLine="240" w:firstLineChars="100"/>
        <w:rPr>
          <w:rFonts w:hint="default" w:ascii="宋体" w:hAnsi="宋体" w:eastAsia="宋体" w:cs="宋体"/>
          <w:i w:val="0"/>
          <w:iCs/>
          <w:sz w:val="24"/>
          <w:szCs w:val="24"/>
          <w:highlight w:val="none"/>
          <w:lang w:val="en-US" w:eastAsia="zh-CN"/>
        </w:rPr>
      </w:pPr>
      <w:r>
        <w:rPr>
          <w:rFonts w:hint="eastAsia" w:ascii="宋体" w:hAnsi="宋体" w:eastAsia="宋体" w:cs="宋体"/>
          <w:i w:val="0"/>
          <w:iCs/>
          <w:sz w:val="24"/>
          <w:szCs w:val="24"/>
          <w:highlight w:val="none"/>
          <w:lang w:val="en-US" w:eastAsia="zh-CN"/>
        </w:rPr>
        <w:t>2、规格：1ml/支。</w:t>
      </w:r>
    </w:p>
    <w:p w14:paraId="6B70416E">
      <w:pPr>
        <w:numPr>
          <w:ilvl w:val="0"/>
          <w:numId w:val="0"/>
        </w:numPr>
        <w:spacing w:line="320" w:lineRule="exact"/>
        <w:ind w:firstLine="240" w:firstLineChars="100"/>
        <w:rPr>
          <w:rFonts w:hint="eastAsia" w:ascii="宋体" w:hAnsi="宋体" w:eastAsia="宋体" w:cs="宋体"/>
          <w:i w:val="0"/>
          <w:iCs/>
          <w:sz w:val="24"/>
          <w:szCs w:val="24"/>
          <w:highlight w:val="none"/>
          <w:lang w:val="en-US" w:eastAsia="zh-CN"/>
        </w:rPr>
      </w:pPr>
      <w:r>
        <w:rPr>
          <w:rFonts w:hint="eastAsia" w:ascii="宋体" w:hAnsi="宋体" w:eastAsia="宋体" w:cs="宋体"/>
          <w:i w:val="0"/>
          <w:iCs/>
          <w:sz w:val="24"/>
          <w:szCs w:val="24"/>
          <w:highlight w:val="none"/>
          <w:lang w:val="en-US" w:eastAsia="zh-CN"/>
        </w:rPr>
        <w:t>3、透明质酸钠制备工艺：微生物发酵法制备。</w:t>
      </w:r>
    </w:p>
    <w:p w14:paraId="6F8212BF">
      <w:pPr>
        <w:numPr>
          <w:ilvl w:val="0"/>
          <w:numId w:val="0"/>
        </w:numPr>
        <w:spacing w:line="320" w:lineRule="exact"/>
        <w:ind w:firstLine="240" w:firstLineChars="100"/>
        <w:rPr>
          <w:rFonts w:hint="eastAsia" w:ascii="宋体" w:hAnsi="宋体" w:eastAsia="宋体" w:cs="宋体"/>
          <w:i w:val="0"/>
          <w:iCs/>
          <w:sz w:val="24"/>
          <w:szCs w:val="24"/>
          <w:highlight w:val="none"/>
          <w:lang w:val="en-US" w:eastAsia="zh-CN"/>
        </w:rPr>
      </w:pPr>
      <w:r>
        <w:rPr>
          <w:rFonts w:hint="eastAsia" w:ascii="宋体" w:hAnsi="宋体" w:eastAsia="宋体" w:cs="宋体"/>
          <w:i w:val="0"/>
          <w:iCs/>
          <w:sz w:val="24"/>
          <w:szCs w:val="24"/>
          <w:highlight w:val="none"/>
          <w:lang w:val="en-US" w:eastAsia="zh-CN"/>
        </w:rPr>
        <w:t>4、结构：该产品由预灌封玻璃注射器，不锈钢注射针和封装在注射器中的凝胶颗粒悬液组成。</w:t>
      </w:r>
    </w:p>
    <w:p w14:paraId="01E92695">
      <w:pPr>
        <w:numPr>
          <w:ilvl w:val="0"/>
          <w:numId w:val="0"/>
        </w:numPr>
        <w:spacing w:line="320" w:lineRule="exact"/>
        <w:ind w:firstLine="240" w:firstLineChars="100"/>
        <w:rPr>
          <w:rFonts w:hint="eastAsia" w:ascii="宋体" w:hAnsi="宋体" w:eastAsia="宋体" w:cs="宋体"/>
          <w:i w:val="0"/>
          <w:iCs/>
          <w:sz w:val="24"/>
          <w:szCs w:val="24"/>
          <w:highlight w:val="none"/>
          <w:lang w:val="en-US" w:eastAsia="zh-CN"/>
        </w:rPr>
      </w:pPr>
      <w:r>
        <w:rPr>
          <w:rFonts w:hint="eastAsia" w:ascii="宋体" w:hAnsi="宋体" w:eastAsia="宋体" w:cs="宋体"/>
          <w:i w:val="0"/>
          <w:iCs/>
          <w:sz w:val="24"/>
          <w:szCs w:val="24"/>
          <w:highlight w:val="none"/>
          <w:lang w:val="en-US" w:eastAsia="zh-CN"/>
        </w:rPr>
        <w:t>5、产品需含利多卡因，提高患者舒适度。</w:t>
      </w:r>
    </w:p>
    <w:p w14:paraId="0180AE8B">
      <w:pPr>
        <w:numPr>
          <w:ilvl w:val="0"/>
          <w:numId w:val="0"/>
        </w:numPr>
        <w:spacing w:line="320" w:lineRule="exact"/>
        <w:ind w:firstLine="240" w:firstLineChars="100"/>
        <w:rPr>
          <w:rFonts w:hint="default" w:ascii="宋体" w:hAnsi="宋体" w:eastAsia="宋体" w:cs="宋体"/>
          <w:i w:val="0"/>
          <w:iCs/>
          <w:sz w:val="24"/>
          <w:szCs w:val="24"/>
          <w:highlight w:val="none"/>
          <w:lang w:val="en-US" w:eastAsia="zh-CN"/>
        </w:rPr>
      </w:pPr>
      <w:r>
        <w:rPr>
          <w:rFonts w:hint="eastAsia" w:ascii="宋体" w:hAnsi="宋体" w:eastAsia="宋体" w:cs="宋体"/>
          <w:i w:val="0"/>
          <w:iCs/>
          <w:sz w:val="24"/>
          <w:szCs w:val="24"/>
          <w:highlight w:val="none"/>
          <w:lang w:val="en-US" w:eastAsia="zh-CN"/>
        </w:rPr>
        <w:t>6、经交联透明质酸钠≥18mg/mL。</w:t>
      </w:r>
    </w:p>
    <w:p w14:paraId="04205AC7">
      <w:pPr>
        <w:widowControl/>
        <w:spacing w:before="120" w:beforeLines="50" w:line="360" w:lineRule="exact"/>
        <w:ind w:firstLine="241" w:firstLineChars="100"/>
        <w:outlineLvl w:val="1"/>
        <w:rPr>
          <w:rFonts w:hint="default" w:ascii="Times New Roman" w:hAnsi="Times New Roman" w:eastAsia="宋体" w:cs="Times New Roman"/>
          <w:b/>
          <w:bCs/>
          <w:i w:val="0"/>
          <w:iCs/>
          <w:sz w:val="24"/>
          <w:szCs w:val="24"/>
          <w:highlight w:val="none"/>
          <w:lang w:val="en-US" w:eastAsia="zh-CN"/>
        </w:rPr>
      </w:pPr>
      <w:r>
        <w:rPr>
          <w:rFonts w:hint="eastAsia" w:ascii="Times New Roman" w:hAnsi="Times New Roman" w:eastAsia="宋体" w:cs="宋体"/>
          <w:b/>
          <w:sz w:val="24"/>
          <w:highlight w:val="none"/>
          <w:lang w:val="en-US" w:eastAsia="zh-CN"/>
        </w:rPr>
        <w:t xml:space="preserve">分项5 </w:t>
      </w:r>
      <w:r>
        <w:rPr>
          <w:rFonts w:hint="default" w:ascii="Times New Roman" w:hAnsi="Times New Roman" w:eastAsia="宋体" w:cs="宋体"/>
          <w:b/>
          <w:sz w:val="24"/>
          <w:highlight w:val="none"/>
          <w:lang w:val="en-US" w:eastAsia="zh-CN"/>
        </w:rPr>
        <w:t>注射</w:t>
      </w:r>
      <w:r>
        <w:rPr>
          <w:rFonts w:hint="default" w:ascii="Times New Roman" w:hAnsi="Times New Roman" w:eastAsia="宋体" w:cs="Times New Roman"/>
          <w:b/>
          <w:bCs/>
          <w:sz w:val="24"/>
          <w:szCs w:val="24"/>
          <w:highlight w:val="none"/>
          <w:lang w:val="en-US" w:eastAsia="zh-CN"/>
        </w:rPr>
        <w:t>用修饰透明质酸钠凝胶</w:t>
      </w:r>
    </w:p>
    <w:p w14:paraId="0F67BE7C">
      <w:pPr>
        <w:numPr>
          <w:ilvl w:val="0"/>
          <w:numId w:val="0"/>
        </w:numPr>
        <w:spacing w:line="320" w:lineRule="exact"/>
        <w:ind w:firstLine="240" w:firstLineChars="100"/>
        <w:rPr>
          <w:rFonts w:hint="default" w:ascii="宋体" w:hAnsi="宋体" w:eastAsia="宋体" w:cs="宋体"/>
          <w:i w:val="0"/>
          <w:iCs/>
          <w:sz w:val="24"/>
          <w:szCs w:val="24"/>
          <w:highlight w:val="none"/>
          <w:lang w:val="en-US" w:eastAsia="zh-CN"/>
        </w:rPr>
      </w:pPr>
      <w:r>
        <w:rPr>
          <w:rFonts w:hint="eastAsia" w:ascii="宋体" w:hAnsi="宋体" w:eastAsia="宋体" w:cs="宋体"/>
          <w:i w:val="0"/>
          <w:iCs/>
          <w:sz w:val="24"/>
          <w:szCs w:val="24"/>
          <w:highlight w:val="none"/>
          <w:lang w:val="en-US" w:eastAsia="zh-CN"/>
        </w:rPr>
        <w:t>1、适应症：该产品用于面部真皮组织中层至深层注射以纠正中重度鼻唇部皱纹或用于面部真皮组织浅层到中层注射以纠正静态额部皱纹。</w:t>
      </w:r>
    </w:p>
    <w:p w14:paraId="5F9591BA">
      <w:pPr>
        <w:numPr>
          <w:ilvl w:val="0"/>
          <w:numId w:val="0"/>
        </w:numPr>
        <w:spacing w:line="320" w:lineRule="exact"/>
        <w:ind w:firstLine="240" w:firstLineChars="100"/>
        <w:rPr>
          <w:rFonts w:hint="eastAsia" w:ascii="宋体" w:hAnsi="宋体" w:eastAsia="宋体" w:cs="宋体"/>
          <w:i w:val="0"/>
          <w:iCs/>
          <w:sz w:val="24"/>
          <w:szCs w:val="24"/>
          <w:highlight w:val="none"/>
          <w:lang w:val="en-US" w:eastAsia="zh-CN"/>
        </w:rPr>
      </w:pPr>
      <w:r>
        <w:rPr>
          <w:rFonts w:hint="eastAsia" w:ascii="宋体" w:hAnsi="宋体" w:eastAsia="宋体" w:cs="宋体"/>
          <w:i w:val="0"/>
          <w:iCs/>
          <w:sz w:val="24"/>
          <w:szCs w:val="24"/>
          <w:highlight w:val="none"/>
          <w:lang w:val="en-US" w:eastAsia="zh-CN"/>
        </w:rPr>
        <w:t>2、规格：≤3mL/支。</w:t>
      </w:r>
    </w:p>
    <w:p w14:paraId="714407F5">
      <w:pPr>
        <w:numPr>
          <w:ilvl w:val="0"/>
          <w:numId w:val="0"/>
        </w:numPr>
        <w:spacing w:line="320" w:lineRule="exact"/>
        <w:ind w:firstLine="240" w:firstLineChars="100"/>
        <w:rPr>
          <w:rFonts w:hint="eastAsia" w:ascii="宋体" w:hAnsi="宋体" w:eastAsia="宋体" w:cs="宋体"/>
          <w:i w:val="0"/>
          <w:iCs/>
          <w:sz w:val="24"/>
          <w:szCs w:val="24"/>
          <w:highlight w:val="none"/>
          <w:lang w:val="en-US" w:eastAsia="zh-CN"/>
        </w:rPr>
      </w:pPr>
      <w:r>
        <w:rPr>
          <w:rFonts w:hint="eastAsia" w:ascii="宋体" w:hAnsi="宋体" w:eastAsia="宋体" w:cs="宋体"/>
          <w:i w:val="0"/>
          <w:iCs/>
          <w:sz w:val="24"/>
          <w:szCs w:val="24"/>
          <w:highlight w:val="none"/>
          <w:lang w:val="en-US" w:eastAsia="zh-CN"/>
        </w:rPr>
        <w:t>3、透明质酸钠制备工艺：微生物发酵法制备。</w:t>
      </w:r>
    </w:p>
    <w:p w14:paraId="62A82DCC">
      <w:pPr>
        <w:numPr>
          <w:ilvl w:val="0"/>
          <w:numId w:val="0"/>
        </w:numPr>
        <w:spacing w:line="320" w:lineRule="exact"/>
        <w:ind w:firstLine="240" w:firstLineChars="100"/>
        <w:rPr>
          <w:rFonts w:hint="eastAsia" w:ascii="宋体" w:hAnsi="宋体" w:eastAsia="宋体" w:cs="宋体"/>
          <w:i w:val="0"/>
          <w:iCs/>
          <w:sz w:val="24"/>
          <w:szCs w:val="24"/>
          <w:highlight w:val="none"/>
          <w:lang w:val="en-US" w:eastAsia="zh-CN"/>
        </w:rPr>
      </w:pPr>
      <w:r>
        <w:rPr>
          <w:rFonts w:hint="eastAsia" w:ascii="宋体" w:hAnsi="宋体" w:eastAsia="宋体" w:cs="宋体"/>
          <w:i w:val="0"/>
          <w:iCs/>
          <w:sz w:val="24"/>
          <w:szCs w:val="24"/>
          <w:highlight w:val="none"/>
          <w:lang w:val="en-US" w:eastAsia="zh-CN"/>
        </w:rPr>
        <w:t>4、结构：该产品由预灌封玻璃注射器，不锈钢注射针和封装在注射器中的凝胶颗粒悬液组成。</w:t>
      </w:r>
    </w:p>
    <w:p w14:paraId="0C026538">
      <w:pPr>
        <w:numPr>
          <w:ilvl w:val="0"/>
          <w:numId w:val="0"/>
        </w:numPr>
        <w:spacing w:line="320" w:lineRule="exact"/>
        <w:ind w:firstLine="240" w:firstLineChars="100"/>
        <w:rPr>
          <w:rFonts w:hint="eastAsia" w:ascii="Times New Roman" w:hAnsi="Times New Roman" w:eastAsia="宋体" w:cs="Times New Roman"/>
          <w:sz w:val="24"/>
          <w:szCs w:val="24"/>
          <w:lang w:val="en-US" w:eastAsia="zh-CN"/>
        </w:rPr>
      </w:pPr>
      <w:r>
        <w:rPr>
          <w:rFonts w:hint="eastAsia" w:ascii="宋体" w:hAnsi="宋体" w:eastAsia="宋体" w:cs="宋体"/>
          <w:i w:val="0"/>
          <w:iCs/>
          <w:sz w:val="24"/>
          <w:szCs w:val="24"/>
          <w:highlight w:val="none"/>
          <w:lang w:val="en-US" w:eastAsia="zh-CN"/>
        </w:rPr>
        <w:t>5、产品需含利多卡因，提高患者舒适度。</w:t>
      </w:r>
    </w:p>
    <w:p w14:paraId="2F0620B2">
      <w:pPr>
        <w:spacing w:line="320" w:lineRule="exact"/>
        <w:ind w:firstLine="240" w:firstLineChars="100"/>
        <w:rPr>
          <w:rFonts w:hint="eastAsia" w:ascii="Times New Roman" w:hAnsi="Times New Roman" w:eastAsia="宋体" w:cs="Times New Roman"/>
          <w:sz w:val="24"/>
          <w:szCs w:val="24"/>
          <w:lang w:val="en-US" w:eastAsia="zh-CN"/>
        </w:rPr>
      </w:pPr>
    </w:p>
    <w:p w14:paraId="11151D79">
      <w:pPr>
        <w:pStyle w:val="23"/>
        <w:numPr>
          <w:ilvl w:val="0"/>
          <w:numId w:val="0"/>
        </w:numPr>
        <w:ind w:right="864" w:rightChars="0" w:firstLine="241" w:firstLineChars="100"/>
        <w:jc w:val="both"/>
        <w:rPr>
          <w:rFonts w:hint="default" w:ascii="Times New Roman" w:hAnsi="Times New Roman" w:eastAsia="宋体" w:cs="Times New Roman"/>
          <w:b/>
          <w:bCs/>
          <w:i w:val="0"/>
          <w:iCs/>
          <w:sz w:val="24"/>
          <w:szCs w:val="24"/>
          <w:lang w:val="en-US" w:eastAsia="zh-CN"/>
        </w:rPr>
      </w:pPr>
      <w:r>
        <w:rPr>
          <w:rFonts w:hint="eastAsia" w:ascii="Times New Roman" w:hAnsi="Times New Roman" w:eastAsia="宋体" w:cs="Times New Roman"/>
          <w:b/>
          <w:bCs/>
          <w:i w:val="0"/>
          <w:iCs/>
          <w:sz w:val="24"/>
          <w:szCs w:val="24"/>
          <w:lang w:val="en-US" w:eastAsia="zh-CN"/>
        </w:rPr>
        <w:t>包二：</w:t>
      </w:r>
      <w:r>
        <w:rPr>
          <w:rFonts w:hint="default" w:ascii="Times New Roman" w:hAnsi="Times New Roman" w:eastAsia="宋体" w:cs="Times New Roman"/>
          <w:b/>
          <w:bCs/>
          <w:i w:val="0"/>
          <w:iCs/>
          <w:sz w:val="24"/>
          <w:szCs w:val="24"/>
          <w:lang w:val="en-US" w:eastAsia="zh-CN"/>
        </w:rPr>
        <w:t>注射用透明质酸钠复合溶液</w:t>
      </w:r>
    </w:p>
    <w:p w14:paraId="5A33F23C">
      <w:pPr>
        <w:pStyle w:val="22"/>
        <w:numPr>
          <w:ilvl w:val="0"/>
          <w:numId w:val="0"/>
        </w:numPr>
        <w:rPr>
          <w:rFonts w:hint="eastAsia" w:ascii="宋体" w:hAnsi="宋体" w:eastAsia="宋体" w:cs="宋体"/>
          <w:b w:val="0"/>
          <w:bCs w:val="0"/>
          <w:i w:val="0"/>
          <w:iCs/>
          <w:sz w:val="24"/>
          <w:szCs w:val="24"/>
          <w:lang w:val="en-US" w:eastAsia="zh-CN"/>
        </w:rPr>
      </w:pPr>
      <w:r>
        <w:rPr>
          <w:rFonts w:hint="eastAsia" w:ascii="宋体" w:hAnsi="宋体" w:eastAsia="宋体" w:cs="宋体"/>
          <w:b w:val="0"/>
          <w:bCs w:val="0"/>
          <w:i w:val="0"/>
          <w:iCs/>
          <w:sz w:val="24"/>
          <w:szCs w:val="24"/>
          <w:lang w:val="en-US" w:eastAsia="zh-CN"/>
        </w:rPr>
        <w:t>1、规格：≤3mL支；</w:t>
      </w:r>
    </w:p>
    <w:p w14:paraId="6A760A4E">
      <w:pPr>
        <w:pStyle w:val="22"/>
        <w:numPr>
          <w:ilvl w:val="0"/>
          <w:numId w:val="0"/>
        </w:numPr>
        <w:rPr>
          <w:rFonts w:hint="eastAsia" w:ascii="宋体" w:hAnsi="宋体" w:eastAsia="宋体" w:cs="宋体"/>
          <w:b w:val="0"/>
          <w:bCs w:val="0"/>
          <w:i w:val="0"/>
          <w:iCs/>
          <w:sz w:val="24"/>
          <w:szCs w:val="24"/>
          <w:lang w:val="en-US" w:eastAsia="zh-CN"/>
        </w:rPr>
      </w:pPr>
      <w:r>
        <w:rPr>
          <w:rFonts w:hint="eastAsia" w:ascii="宋体" w:hAnsi="宋体" w:eastAsia="宋体" w:cs="宋体"/>
          <w:b w:val="0"/>
          <w:bCs w:val="0"/>
          <w:i w:val="0"/>
          <w:iCs/>
          <w:sz w:val="24"/>
          <w:szCs w:val="24"/>
          <w:lang w:val="en-US" w:eastAsia="zh-CN"/>
        </w:rPr>
        <w:t>2、用于皮内真皮层注射填充，以纠正颈部中重度皱纹或用于面部真皮浅层注射，暂时性改善成人皮肤干燥、肤色暗沉；</w:t>
      </w:r>
    </w:p>
    <w:p w14:paraId="34D86848">
      <w:pPr>
        <w:pStyle w:val="22"/>
        <w:numPr>
          <w:ilvl w:val="0"/>
          <w:numId w:val="0"/>
        </w:numPr>
        <w:rPr>
          <w:rFonts w:hint="eastAsia" w:ascii="宋体" w:hAnsi="宋体" w:eastAsia="宋体" w:cs="宋体"/>
          <w:b w:val="0"/>
          <w:bCs w:val="0"/>
          <w:i w:val="0"/>
          <w:iCs/>
          <w:sz w:val="24"/>
          <w:szCs w:val="24"/>
          <w:lang w:val="en-US" w:eastAsia="zh-CN"/>
        </w:rPr>
      </w:pPr>
      <w:r>
        <w:rPr>
          <w:rFonts w:hint="eastAsia" w:ascii="宋体" w:hAnsi="宋体" w:eastAsia="宋体" w:cs="宋体"/>
          <w:b w:val="0"/>
          <w:bCs w:val="0"/>
          <w:i w:val="0"/>
          <w:iCs/>
          <w:sz w:val="24"/>
          <w:szCs w:val="24"/>
          <w:lang w:val="en-US" w:eastAsia="zh-CN"/>
        </w:rPr>
        <w:t>3、该产品由预灌封注射器和封装在预灌封注射器中的复合溶液组成，经无菌灌装封装在预灌封注射器内；</w:t>
      </w:r>
    </w:p>
    <w:p w14:paraId="13CEBEF2">
      <w:pPr>
        <w:pStyle w:val="22"/>
        <w:numPr>
          <w:ilvl w:val="0"/>
          <w:numId w:val="0"/>
        </w:numPr>
        <w:rPr>
          <w:rFonts w:hint="default" w:ascii="Times New Roman" w:hAnsi="Times New Roman" w:eastAsia="宋体" w:cs="Times New Roman"/>
          <w:b w:val="0"/>
          <w:bCs w:val="0"/>
          <w:color w:val="auto"/>
          <w:sz w:val="24"/>
          <w:szCs w:val="24"/>
          <w:lang w:val="en-US" w:eastAsia="zh-CN"/>
        </w:rPr>
      </w:pPr>
      <w:r>
        <w:rPr>
          <w:rFonts w:hint="eastAsia" w:ascii="宋体" w:hAnsi="宋体" w:eastAsia="宋体" w:cs="宋体"/>
          <w:b w:val="0"/>
          <w:bCs w:val="0"/>
          <w:i w:val="0"/>
          <w:iCs/>
          <w:sz w:val="24"/>
          <w:szCs w:val="24"/>
          <w:lang w:val="en-US" w:eastAsia="zh-CN"/>
        </w:rPr>
        <w:t>4、复合溶液主要由透明质酸钠、氨基酸等组成</w:t>
      </w:r>
      <w:r>
        <w:rPr>
          <w:rFonts w:hint="default" w:ascii="Times New Roman" w:hAnsi="Times New Roman" w:eastAsia="宋体" w:cs="Times New Roman"/>
          <w:b w:val="0"/>
          <w:bCs w:val="0"/>
          <w:color w:val="auto"/>
          <w:sz w:val="24"/>
          <w:szCs w:val="24"/>
          <w:lang w:val="en-US" w:eastAsia="zh-CN"/>
        </w:rPr>
        <w:t>。</w:t>
      </w:r>
    </w:p>
    <w:p w14:paraId="6BD57247">
      <w:pPr>
        <w:pStyle w:val="23"/>
        <w:ind w:left="0" w:leftChars="0" w:firstLine="0" w:firstLineChars="0"/>
        <w:jc w:val="both"/>
        <w:rPr>
          <w:rFonts w:hint="default"/>
          <w:lang w:val="en-US" w:eastAsia="zh-CN"/>
        </w:rPr>
      </w:pPr>
    </w:p>
    <w:p w14:paraId="278004E3">
      <w:pPr>
        <w:pStyle w:val="22"/>
        <w:ind w:firstLine="480" w:firstLineChars="200"/>
        <w:rPr>
          <w:rFonts w:hint="eastAsia" w:ascii="微软雅黑" w:hAnsi="微软雅黑" w:eastAsia="微软雅黑" w:cs="微软雅黑"/>
          <w:b/>
          <w:bCs/>
          <w:kern w:val="2"/>
          <w:sz w:val="24"/>
          <w:szCs w:val="24"/>
          <w:lang w:val="en-US" w:eastAsia="zh-CN" w:bidi="ar-SA"/>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35FD4EB7">
      <w:pPr>
        <w:pStyle w:val="22"/>
        <w:ind w:firstLine="280" w:firstLineChars="0"/>
        <w:rPr>
          <w:rFonts w:hint="default"/>
          <w:color w:val="auto"/>
          <w:lang w:val="en-US" w:eastAsia="zh-CN"/>
        </w:rPr>
      </w:pPr>
    </w:p>
    <w:p w14:paraId="665739FE">
      <w:pPr>
        <w:spacing w:line="400" w:lineRule="exact"/>
        <w:outlineLvl w:val="1"/>
        <w:rPr>
          <w:rFonts w:hint="default" w:ascii="Times New Roman" w:hAnsi="Times New Roman" w:cs="Times New Roman"/>
          <w:b/>
          <w:color w:val="auto"/>
          <w:sz w:val="24"/>
        </w:rPr>
      </w:pPr>
      <w:bookmarkStart w:id="68" w:name="_Toc6540"/>
      <w:r>
        <w:rPr>
          <w:rFonts w:hint="default" w:ascii="Times New Roman" w:hAnsi="Times New Roman" w:cs="Times New Roman"/>
          <w:b/>
          <w:color w:val="auto"/>
          <w:sz w:val="24"/>
        </w:rPr>
        <w:t>二、</w:t>
      </w:r>
      <w:bookmarkEnd w:id="61"/>
      <w:bookmarkEnd w:id="62"/>
      <w:bookmarkEnd w:id="63"/>
      <w:bookmarkEnd w:id="64"/>
      <w:bookmarkEnd w:id="65"/>
      <w:r>
        <w:rPr>
          <w:rFonts w:hint="default" w:ascii="Times New Roman" w:hAnsi="Times New Roman" w:cs="Times New Roman"/>
          <w:b/>
          <w:color w:val="auto"/>
          <w:sz w:val="24"/>
        </w:rPr>
        <w:t>商务需求</w:t>
      </w:r>
      <w:bookmarkEnd w:id="66"/>
      <w:bookmarkEnd w:id="67"/>
      <w:bookmarkEnd w:id="68"/>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9" w:name="_Toc31843"/>
      <w:bookmarkStart w:id="70" w:name="_Toc76373878"/>
      <w:bookmarkStart w:id="71" w:name="_Toc1768"/>
      <w:bookmarkStart w:id="72" w:name="_Toc17524"/>
      <w:bookmarkStart w:id="73" w:name="_Toc17944"/>
      <w:bookmarkStart w:id="74" w:name="_Toc15650"/>
      <w:bookmarkStart w:id="75" w:name="_Toc24122"/>
      <w:bookmarkStart w:id="76" w:name="_Toc2072"/>
      <w:bookmarkStart w:id="77" w:name="_Toc7794"/>
      <w:bookmarkStart w:id="78" w:name="_Toc4791"/>
      <w:bookmarkStart w:id="79"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9"/>
      <w:bookmarkEnd w:id="70"/>
      <w:bookmarkEnd w:id="71"/>
      <w:bookmarkEnd w:id="72"/>
      <w:bookmarkEnd w:id="73"/>
      <w:bookmarkEnd w:id="74"/>
      <w:bookmarkEnd w:id="75"/>
      <w:bookmarkEnd w:id="76"/>
      <w:bookmarkEnd w:id="77"/>
      <w:bookmarkEnd w:id="78"/>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80" w:name="_Toc30551"/>
      <w:bookmarkStart w:id="81" w:name="_Toc22561"/>
      <w:bookmarkStart w:id="82" w:name="_Toc5959"/>
      <w:bookmarkStart w:id="83" w:name="_Toc9339"/>
      <w:bookmarkStart w:id="84" w:name="_Toc76373879"/>
      <w:bookmarkStart w:id="85" w:name="_Toc29836"/>
      <w:bookmarkStart w:id="86" w:name="_Toc14311"/>
      <w:bookmarkStart w:id="87" w:name="_Toc28942"/>
      <w:bookmarkStart w:id="88" w:name="_Toc16908"/>
      <w:bookmarkStart w:id="89" w:name="_Toc1352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9"/>
    <w:bookmarkEnd w:id="80"/>
    <w:bookmarkEnd w:id="81"/>
    <w:bookmarkEnd w:id="82"/>
    <w:bookmarkEnd w:id="83"/>
    <w:bookmarkEnd w:id="84"/>
    <w:bookmarkEnd w:id="85"/>
    <w:bookmarkEnd w:id="86"/>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7"/>
      <w:bookmarkEnd w:id="88"/>
      <w:bookmarkEnd w:id="89"/>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90" w:name="_Toc76373885"/>
      <w:bookmarkStart w:id="91" w:name="_Toc27893"/>
      <w:bookmarkStart w:id="92" w:name="_Toc20772"/>
      <w:bookmarkStart w:id="93" w:name="_Toc2258"/>
      <w:bookmarkStart w:id="94" w:name="_Toc20263"/>
      <w:bookmarkStart w:id="95" w:name="_Toc12384"/>
      <w:bookmarkStart w:id="96" w:name="_Toc27737"/>
      <w:r>
        <w:rPr>
          <w:rFonts w:hint="eastAsia" w:ascii="宋体" w:hAnsi="宋体" w:cs="宋体"/>
          <w:b/>
          <w:color w:val="auto"/>
          <w:szCs w:val="36"/>
        </w:rPr>
        <w:t>第三篇  资格审查及评价办法</w:t>
      </w:r>
      <w:bookmarkEnd w:id="90"/>
      <w:bookmarkEnd w:id="91"/>
      <w:bookmarkEnd w:id="92"/>
      <w:bookmarkEnd w:id="93"/>
      <w:bookmarkEnd w:id="94"/>
      <w:bookmarkEnd w:id="95"/>
      <w:bookmarkEnd w:id="96"/>
    </w:p>
    <w:p w14:paraId="49129F66">
      <w:pPr>
        <w:spacing w:line="400" w:lineRule="exact"/>
        <w:rPr>
          <w:rFonts w:hint="eastAsia" w:cs="宋体"/>
          <w:b/>
          <w:color w:val="auto"/>
          <w:sz w:val="24"/>
        </w:rPr>
      </w:pPr>
      <w:bookmarkStart w:id="97" w:name="_Toc76373886"/>
      <w:bookmarkStart w:id="98" w:name="_Toc28189"/>
      <w:bookmarkStart w:id="99" w:name="_Toc12712"/>
      <w:bookmarkStart w:id="100" w:name="_Toc7115"/>
      <w:bookmarkStart w:id="101" w:name="_Toc11052"/>
      <w:bookmarkStart w:id="102" w:name="_Toc23699"/>
    </w:p>
    <w:p w14:paraId="6C8393AD">
      <w:pPr>
        <w:spacing w:line="400" w:lineRule="exact"/>
        <w:outlineLvl w:val="1"/>
        <w:rPr>
          <w:rFonts w:hint="eastAsia" w:cs="宋体"/>
          <w:b/>
          <w:color w:val="auto"/>
          <w:sz w:val="24"/>
        </w:rPr>
      </w:pPr>
      <w:bookmarkStart w:id="103" w:name="_Toc4818"/>
      <w:r>
        <w:rPr>
          <w:rFonts w:hint="eastAsia" w:cs="宋体"/>
          <w:b/>
          <w:color w:val="auto"/>
          <w:sz w:val="24"/>
        </w:rPr>
        <w:t>一、资格审查及符合性审查</w:t>
      </w:r>
      <w:bookmarkEnd w:id="97"/>
      <w:bookmarkEnd w:id="98"/>
      <w:bookmarkEnd w:id="99"/>
      <w:bookmarkEnd w:id="100"/>
      <w:bookmarkEnd w:id="101"/>
      <w:bookmarkEnd w:id="102"/>
      <w:bookmarkEnd w:id="103"/>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D7D999D">
      <w:pPr>
        <w:spacing w:line="400" w:lineRule="exact"/>
        <w:outlineLvl w:val="1"/>
        <w:rPr>
          <w:rFonts w:hint="eastAsia" w:cs="宋体"/>
          <w:b/>
          <w:color w:val="auto"/>
          <w:sz w:val="24"/>
        </w:rPr>
      </w:pPr>
      <w:bookmarkStart w:id="104" w:name="_Toc5535"/>
      <w:bookmarkStart w:id="105" w:name="_Toc31293"/>
      <w:bookmarkStart w:id="106" w:name="_Toc9147"/>
      <w:bookmarkStart w:id="107" w:name="_Toc13585"/>
      <w:bookmarkStart w:id="108" w:name="_Toc26754"/>
      <w:bookmarkStart w:id="109" w:name="_Toc19809"/>
      <w:bookmarkStart w:id="110" w:name="_Toc76373887"/>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4"/>
      <w:bookmarkEnd w:id="105"/>
      <w:bookmarkEnd w:id="106"/>
      <w:bookmarkEnd w:id="107"/>
      <w:bookmarkEnd w:id="108"/>
      <w:bookmarkEnd w:id="109"/>
      <w:bookmarkEnd w:id="110"/>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11" w:name="_Toc2900"/>
      <w:bookmarkStart w:id="112" w:name="_Toc30068"/>
      <w:bookmarkStart w:id="113" w:name="_Toc76373889"/>
      <w:bookmarkStart w:id="114" w:name="_Toc8546"/>
      <w:bookmarkStart w:id="115" w:name="_Toc5251"/>
      <w:bookmarkStart w:id="116" w:name="_Toc16925"/>
    </w:p>
    <w:p w14:paraId="1DAB7DC7">
      <w:pPr>
        <w:numPr>
          <w:ilvl w:val="0"/>
          <w:numId w:val="0"/>
        </w:numPr>
        <w:spacing w:line="400" w:lineRule="exact"/>
        <w:outlineLvl w:val="1"/>
        <w:rPr>
          <w:rFonts w:hint="eastAsia" w:cs="宋体"/>
          <w:b/>
          <w:color w:val="auto"/>
          <w:sz w:val="24"/>
        </w:rPr>
      </w:pPr>
      <w:bookmarkStart w:id="117" w:name="_Toc13294"/>
      <w:r>
        <w:rPr>
          <w:rFonts w:hint="eastAsia" w:cs="宋体"/>
          <w:b/>
          <w:color w:val="auto"/>
          <w:sz w:val="24"/>
          <w:lang w:eastAsia="zh-CN"/>
        </w:rPr>
        <w:t>三、</w:t>
      </w:r>
      <w:r>
        <w:rPr>
          <w:rFonts w:hint="eastAsia" w:cs="宋体"/>
          <w:b/>
          <w:color w:val="auto"/>
          <w:sz w:val="24"/>
        </w:rPr>
        <w:t>无效竞选条款</w:t>
      </w:r>
      <w:bookmarkEnd w:id="111"/>
      <w:bookmarkEnd w:id="112"/>
      <w:bookmarkEnd w:id="113"/>
      <w:bookmarkEnd w:id="114"/>
      <w:bookmarkEnd w:id="115"/>
      <w:bookmarkEnd w:id="116"/>
      <w:bookmarkEnd w:id="117"/>
    </w:p>
    <w:p w14:paraId="108CEFAD">
      <w:pPr>
        <w:snapToGrid w:val="0"/>
        <w:spacing w:line="400" w:lineRule="exact"/>
        <w:ind w:firstLine="480" w:firstLineChars="200"/>
        <w:rPr>
          <w:rFonts w:hint="eastAsia" w:ascii="宋体" w:hAnsi="宋体" w:eastAsia="宋体" w:cs="宋体"/>
          <w:color w:val="auto"/>
          <w:sz w:val="24"/>
          <w:szCs w:val="24"/>
        </w:rPr>
      </w:pPr>
      <w:bookmarkStart w:id="118"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8"/>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9" w:name="_Toc26071"/>
      <w:bookmarkStart w:id="120" w:name="_Toc11654"/>
      <w:bookmarkStart w:id="121" w:name="_Toc11342"/>
      <w:bookmarkStart w:id="122" w:name="_Toc27443"/>
      <w:bookmarkStart w:id="123" w:name="_Toc76373890"/>
      <w:bookmarkStart w:id="124" w:name="_Toc20034"/>
      <w:r>
        <w:rPr>
          <w:rFonts w:hint="eastAsia" w:cs="宋体"/>
          <w:b/>
          <w:color w:val="auto"/>
          <w:sz w:val="24"/>
          <w:lang w:eastAsia="zh-CN"/>
        </w:rPr>
        <w:t>四、</w:t>
      </w:r>
      <w:r>
        <w:rPr>
          <w:rFonts w:hint="eastAsia" w:cs="宋体"/>
          <w:b/>
          <w:color w:val="auto"/>
          <w:sz w:val="24"/>
        </w:rPr>
        <w:t>废标条款</w:t>
      </w:r>
      <w:bookmarkEnd w:id="119"/>
      <w:bookmarkEnd w:id="120"/>
      <w:bookmarkEnd w:id="121"/>
      <w:bookmarkEnd w:id="122"/>
      <w:bookmarkEnd w:id="123"/>
      <w:bookmarkEnd w:id="124"/>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28D8452">
      <w:pPr>
        <w:snapToGrid w:val="0"/>
        <w:spacing w:line="400" w:lineRule="exact"/>
        <w:ind w:firstLine="480" w:firstLineChars="200"/>
        <w:rPr>
          <w:rFonts w:ascii="宋体" w:hAnsi="宋体" w:cs="宋体"/>
          <w:b/>
          <w:bCs/>
          <w:color w:val="auto"/>
          <w:kern w:val="36"/>
          <w:sz w:val="32"/>
          <w:szCs w:val="21"/>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r>
        <w:rPr>
          <w:rFonts w:hint="eastAsia" w:ascii="宋体" w:hAnsi="宋体" w:cs="宋体"/>
          <w:color w:val="auto"/>
        </w:rPr>
        <w:br w:type="page"/>
      </w:r>
      <w:bookmarkStart w:id="125" w:name="_Toc10547"/>
      <w:bookmarkStart w:id="126" w:name="_Toc76373891"/>
      <w:bookmarkStart w:id="127" w:name="_Toc25199"/>
      <w:bookmarkStart w:id="128" w:name="_Toc20391"/>
      <w:bookmarkStart w:id="129" w:name="_Toc27646"/>
      <w:bookmarkStart w:id="130" w:name="_Toc10864"/>
      <w:r>
        <w:rPr>
          <w:rFonts w:hint="eastAsia" w:ascii="宋体" w:hAnsi="宋体" w:cs="宋体"/>
          <w:b/>
          <w:color w:val="auto"/>
          <w:szCs w:val="36"/>
        </w:rPr>
        <w:t xml:space="preserve">第四篇  </w:t>
      </w:r>
      <w:bookmarkStart w:id="131" w:name="_Toc349642178"/>
      <w:bookmarkStart w:id="132" w:name="_Toc258354120"/>
      <w:r>
        <w:rPr>
          <w:rFonts w:hint="eastAsia" w:ascii="宋体" w:hAnsi="宋体" w:cs="宋体"/>
          <w:b/>
          <w:bCs/>
          <w:color w:val="auto"/>
          <w:kern w:val="36"/>
          <w:sz w:val="32"/>
          <w:szCs w:val="21"/>
        </w:rPr>
        <w:t>中选通知及合同</w:t>
      </w:r>
      <w:bookmarkEnd w:id="131"/>
      <w:bookmarkEnd w:id="132"/>
      <w:r>
        <w:rPr>
          <w:rFonts w:hint="eastAsia" w:ascii="宋体" w:hAnsi="宋体" w:cs="宋体"/>
          <w:b/>
          <w:bCs/>
          <w:color w:val="auto"/>
          <w:kern w:val="36"/>
          <w:sz w:val="32"/>
          <w:szCs w:val="21"/>
        </w:rPr>
        <w:t>签订</w:t>
      </w:r>
      <w:bookmarkEnd w:id="125"/>
    </w:p>
    <w:bookmarkEnd w:id="126"/>
    <w:bookmarkEnd w:id="127"/>
    <w:bookmarkEnd w:id="128"/>
    <w:bookmarkEnd w:id="129"/>
    <w:bookmarkEnd w:id="130"/>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33" w:name="_Toc27709"/>
      <w:r>
        <w:rPr>
          <w:rFonts w:hint="eastAsia" w:ascii="宋体" w:hAnsi="宋体" w:cs="宋体"/>
          <w:b/>
          <w:bCs/>
          <w:color w:val="auto"/>
          <w:sz w:val="24"/>
          <w:szCs w:val="24"/>
        </w:rPr>
        <w:t>一</w:t>
      </w:r>
      <w:r>
        <w:rPr>
          <w:rFonts w:hint="eastAsia" w:cs="宋体"/>
          <w:b/>
          <w:color w:val="auto"/>
          <w:sz w:val="24"/>
        </w:rPr>
        <w:t>、中选通知</w:t>
      </w:r>
      <w:bookmarkEnd w:id="133"/>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4" w:name="_Toc29342"/>
      <w:r>
        <w:rPr>
          <w:rFonts w:hint="eastAsia" w:ascii="宋体" w:hAnsi="宋体" w:cs="宋体"/>
          <w:b/>
          <w:bCs/>
          <w:color w:val="auto"/>
          <w:sz w:val="24"/>
          <w:szCs w:val="24"/>
        </w:rPr>
        <w:t>二、</w:t>
      </w:r>
      <w:bookmarkStart w:id="135"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4"/>
      <w:bookmarkEnd w:id="135"/>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6" w:name="_Toc23535"/>
      <w:r>
        <w:rPr>
          <w:rFonts w:hint="eastAsia" w:ascii="宋体" w:hAnsi="宋体" w:cs="宋体"/>
          <w:b/>
          <w:bCs/>
          <w:color w:val="auto"/>
          <w:sz w:val="24"/>
          <w:szCs w:val="24"/>
        </w:rPr>
        <w:t>三、合同协议书的签订</w:t>
      </w:r>
      <w:bookmarkEnd w:id="136"/>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7" w:name="_Toc10698"/>
      <w:r>
        <w:rPr>
          <w:rFonts w:hint="eastAsia" w:ascii="宋体" w:hAnsi="宋体" w:cs="宋体"/>
          <w:b/>
          <w:bCs/>
          <w:color w:val="auto"/>
          <w:sz w:val="24"/>
          <w:szCs w:val="24"/>
        </w:rPr>
        <w:t>四、其它</w:t>
      </w:r>
      <w:bookmarkEnd w:id="137"/>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8" w:name="_Toc24088"/>
      <w:bookmarkStart w:id="139" w:name="_Toc19409"/>
      <w:bookmarkStart w:id="140" w:name="_Toc76373904"/>
      <w:bookmarkStart w:id="141" w:name="_Toc20762"/>
      <w:bookmarkStart w:id="142" w:name="_Toc10152"/>
      <w:bookmarkStart w:id="143" w:name="_Toc2975"/>
      <w:r>
        <w:rPr>
          <w:rFonts w:hint="eastAsia" w:ascii="宋体" w:hAnsi="宋体" w:cs="宋体"/>
          <w:b/>
          <w:color w:val="auto"/>
          <w:szCs w:val="36"/>
        </w:rPr>
        <w:br w:type="column"/>
      </w:r>
      <w:bookmarkEnd w:id="138"/>
      <w:bookmarkEnd w:id="139"/>
      <w:bookmarkEnd w:id="140"/>
      <w:bookmarkEnd w:id="141"/>
      <w:bookmarkEnd w:id="142"/>
      <w:bookmarkEnd w:id="143"/>
    </w:p>
    <w:p w14:paraId="36603897">
      <w:pPr>
        <w:tabs>
          <w:tab w:val="left" w:pos="3360"/>
        </w:tabs>
        <w:spacing w:line="360" w:lineRule="auto"/>
        <w:jc w:val="center"/>
        <w:outlineLvl w:val="0"/>
        <w:rPr>
          <w:rFonts w:hint="eastAsia" w:ascii="宋体" w:hAnsi="宋体" w:cs="宋体"/>
          <w:b/>
          <w:color w:val="auto"/>
          <w:sz w:val="32"/>
          <w:szCs w:val="40"/>
        </w:rPr>
      </w:pPr>
      <w:bookmarkStart w:id="144" w:name="_Toc11892"/>
      <w:bookmarkStart w:id="145" w:name="_Toc7750"/>
      <w:bookmarkStart w:id="146" w:name="_Toc25920"/>
      <w:bookmarkStart w:id="147" w:name="_Toc76373907"/>
      <w:bookmarkStart w:id="148" w:name="_Toc16112"/>
      <w:bookmarkStart w:id="149" w:name="_Toc11763"/>
      <w:bookmarkStart w:id="150" w:name="_Toc12863"/>
      <w:r>
        <w:rPr>
          <w:rFonts w:hint="eastAsia" w:ascii="宋体" w:hAnsi="宋体" w:cs="宋体"/>
          <w:b/>
          <w:color w:val="auto"/>
          <w:sz w:val="32"/>
          <w:szCs w:val="40"/>
        </w:rPr>
        <w:t>第五篇  采购文件格式</w:t>
      </w:r>
      <w:bookmarkEnd w:id="144"/>
      <w:bookmarkEnd w:id="145"/>
      <w:bookmarkEnd w:id="146"/>
      <w:bookmarkEnd w:id="147"/>
      <w:bookmarkEnd w:id="148"/>
      <w:bookmarkEnd w:id="149"/>
      <w:bookmarkEnd w:id="150"/>
    </w:p>
    <w:p w14:paraId="4E1E8451">
      <w:pPr>
        <w:spacing w:line="400" w:lineRule="exact"/>
        <w:ind w:firstLine="482" w:firstLineChars="200"/>
        <w:rPr>
          <w:rFonts w:hint="eastAsia" w:ascii="宋体" w:hAnsi="宋体" w:cs="宋体"/>
          <w:b/>
          <w:bCs/>
          <w:color w:val="auto"/>
          <w:sz w:val="24"/>
          <w:szCs w:val="24"/>
        </w:rPr>
      </w:pPr>
      <w:bookmarkStart w:id="151"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51"/>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52" w:name="OLE_LINK14"/>
      <w:r>
        <w:rPr>
          <w:rFonts w:hint="eastAsia" w:ascii="宋体" w:hAnsi="宋体" w:eastAsia="宋体" w:cs="宋体"/>
          <w:color w:val="auto"/>
          <w:kern w:val="2"/>
          <w:sz w:val="24"/>
          <w:szCs w:val="24"/>
          <w:lang w:val="en-US" w:eastAsia="zh-CN" w:bidi="ar-SA"/>
        </w:rPr>
        <w:t>如</w:t>
      </w:r>
      <w:bookmarkEnd w:id="152"/>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53"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53"/>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4" w:name="_Toc17664"/>
      <w:r>
        <w:rPr>
          <w:rFonts w:hint="eastAsia" w:ascii="宋体" w:hAnsi="宋体" w:cs="宋体"/>
          <w:b/>
          <w:bCs/>
          <w:color w:val="auto"/>
          <w:sz w:val="24"/>
          <w:szCs w:val="24"/>
        </w:rPr>
        <w:t>四、技术（质量）文件</w:t>
      </w:r>
      <w:bookmarkEnd w:id="154"/>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5" w:name="_Toc4012"/>
      <w:bookmarkStart w:id="156" w:name="_Toc24824"/>
      <w:r>
        <w:rPr>
          <w:rFonts w:hint="eastAsia" w:ascii="宋体" w:hAnsi="宋体" w:cs="宋体"/>
          <w:b/>
          <w:bCs/>
          <w:color w:val="auto"/>
          <w:sz w:val="24"/>
          <w:szCs w:val="24"/>
        </w:rPr>
        <w:t>五、</w:t>
      </w:r>
      <w:bookmarkEnd w:id="155"/>
      <w:r>
        <w:rPr>
          <w:rFonts w:hint="eastAsia" w:ascii="宋体" w:hAnsi="宋体" w:cs="宋体"/>
          <w:b/>
          <w:bCs/>
          <w:color w:val="auto"/>
          <w:sz w:val="24"/>
          <w:szCs w:val="24"/>
        </w:rPr>
        <w:t>商务文件</w:t>
      </w:r>
      <w:bookmarkEnd w:id="156"/>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7" w:name="_Toc6185"/>
      <w:r>
        <w:rPr>
          <w:rFonts w:hint="eastAsia" w:cs="宋体"/>
          <w:b/>
          <w:bCs/>
          <w:color w:val="auto"/>
          <w:sz w:val="24"/>
          <w:szCs w:val="24"/>
        </w:rPr>
        <w:t>六、</w:t>
      </w:r>
      <w:r>
        <w:rPr>
          <w:rFonts w:hint="eastAsia" w:ascii="宋体" w:hAnsi="宋体" w:cs="宋体"/>
          <w:b/>
          <w:bCs/>
          <w:color w:val="auto"/>
          <w:sz w:val="24"/>
          <w:szCs w:val="24"/>
        </w:rPr>
        <w:t>资格文件</w:t>
      </w:r>
      <w:bookmarkEnd w:id="157"/>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8" w:name="_Toc3094"/>
      <w:bookmarkStart w:id="159" w:name="_Toc10063"/>
      <w:bookmarkStart w:id="160" w:name="_Toc22827"/>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8"/>
      <w:bookmarkEnd w:id="159"/>
      <w:bookmarkEnd w:id="160"/>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61" w:name="OLE_LINK6"/>
      <w:bookmarkStart w:id="162" w:name="OLE_LINK9"/>
      <w:bookmarkStart w:id="163" w:name="_Toc15483"/>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61"/>
      <w:bookmarkEnd w:id="162"/>
      <w:bookmarkEnd w:id="163"/>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64"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64"/>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65" w:name="OLE_LINK5"/>
      <w:r>
        <w:rPr>
          <w:rFonts w:hint="eastAsia" w:ascii="宋体" w:hAnsi="宋体" w:eastAsia="宋体" w:cs="宋体"/>
          <w:b/>
          <w:color w:val="auto"/>
          <w:sz w:val="36"/>
          <w:szCs w:val="36"/>
        </w:rPr>
        <w:t>开标现场最终报价表</w:t>
      </w:r>
      <w:bookmarkEnd w:id="165"/>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66"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7" w:name="OLE_LINK11"/>
      <w:r>
        <w:rPr>
          <w:rFonts w:hint="eastAsia" w:ascii="宋体" w:hAnsi="宋体" w:eastAsia="宋体" w:cs="宋体"/>
          <w:color w:val="auto"/>
          <w:kern w:val="2"/>
          <w:sz w:val="24"/>
          <w:szCs w:val="24"/>
          <w:lang w:val="en-US" w:eastAsia="zh-CN" w:bidi="ar-SA"/>
        </w:rPr>
        <w:t>专用设备报价表</w:t>
      </w:r>
      <w:bookmarkEnd w:id="166"/>
      <w:bookmarkEnd w:id="167"/>
      <w:bookmarkStart w:id="168" w:name="OLE_LINK18"/>
      <w:r>
        <w:rPr>
          <w:rFonts w:hint="eastAsia" w:eastAsia="宋体" w:cs="宋体"/>
          <w:color w:val="auto"/>
          <w:kern w:val="2"/>
          <w:sz w:val="24"/>
          <w:szCs w:val="24"/>
          <w:lang w:val="en-US" w:eastAsia="zh-CN" w:bidi="ar-SA"/>
        </w:rPr>
        <w:t>(如有)</w:t>
      </w:r>
    </w:p>
    <w:bookmarkEnd w:id="168"/>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9"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9"/>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70" w:name="OLE_LINK17"/>
      <w:r>
        <w:rPr>
          <w:rFonts w:hint="eastAsia" w:ascii="宋体" w:hAnsi="宋体" w:eastAsia="宋体" w:cs="宋体"/>
          <w:color w:val="auto"/>
          <w:kern w:val="2"/>
          <w:sz w:val="24"/>
          <w:szCs w:val="24"/>
          <w:lang w:val="en-US" w:eastAsia="zh-CN" w:bidi="ar-SA"/>
        </w:rPr>
        <w:t>耗材专用设备零配件报价表</w:t>
      </w:r>
      <w:bookmarkEnd w:id="170"/>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71" w:name="_Toc27306"/>
      <w:bookmarkStart w:id="172" w:name="_Toc9795"/>
      <w:bookmarkStart w:id="173" w:name="_Toc76373909"/>
      <w:bookmarkStart w:id="174" w:name="_Toc493178790"/>
      <w:bookmarkStart w:id="175" w:name="_Toc21830"/>
      <w:bookmarkStart w:id="176" w:name="_Toc21431"/>
      <w:bookmarkStart w:id="177" w:name="_Toc28644"/>
      <w:bookmarkStart w:id="178" w:name="_Toc23879"/>
      <w:bookmarkStart w:id="179" w:name="OLE_LINK12"/>
      <w:r>
        <w:rPr>
          <w:rFonts w:hint="eastAsia" w:cs="宋体"/>
          <w:b/>
          <w:color w:val="auto"/>
          <w:szCs w:val="28"/>
        </w:rPr>
        <w:t>二、</w:t>
      </w:r>
      <w:bookmarkEnd w:id="171"/>
      <w:bookmarkEnd w:id="172"/>
      <w:bookmarkEnd w:id="173"/>
      <w:bookmarkEnd w:id="174"/>
      <w:bookmarkEnd w:id="175"/>
      <w:bookmarkEnd w:id="176"/>
      <w:r>
        <w:rPr>
          <w:rFonts w:hint="eastAsia" w:cs="宋体"/>
          <w:b/>
          <w:color w:val="auto"/>
          <w:szCs w:val="28"/>
        </w:rPr>
        <w:t>技术（质量）文件</w:t>
      </w:r>
      <w:bookmarkEnd w:id="177"/>
      <w:bookmarkEnd w:id="178"/>
    </w:p>
    <w:bookmarkEnd w:id="179"/>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80" w:name="_Toc12647"/>
      <w:bookmarkStart w:id="181" w:name="_Toc493178791"/>
      <w:bookmarkStart w:id="182" w:name="_Toc20875"/>
      <w:bookmarkStart w:id="183" w:name="_Toc76373910"/>
      <w:bookmarkStart w:id="184" w:name="_Toc16487"/>
      <w:bookmarkStart w:id="185" w:name="_Toc492721039"/>
      <w:bookmarkStart w:id="186" w:name="_Toc411"/>
      <w:bookmarkStart w:id="187" w:name="_Toc20258"/>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8" w:name="_Toc26764"/>
      <w:r>
        <w:rPr>
          <w:rFonts w:hint="eastAsia" w:cs="宋体"/>
          <w:b/>
          <w:color w:val="auto"/>
          <w:szCs w:val="28"/>
        </w:rPr>
        <w:t>三、商务文件</w:t>
      </w:r>
      <w:bookmarkEnd w:id="180"/>
      <w:bookmarkEnd w:id="181"/>
      <w:bookmarkEnd w:id="182"/>
      <w:bookmarkEnd w:id="183"/>
      <w:bookmarkEnd w:id="184"/>
      <w:bookmarkEnd w:id="185"/>
      <w:bookmarkEnd w:id="186"/>
      <w:bookmarkEnd w:id="187"/>
      <w:bookmarkEnd w:id="188"/>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9" w:name="_Toc493178793"/>
      <w:bookmarkStart w:id="190" w:name="_Toc492721038"/>
      <w:bookmarkStart w:id="191" w:name="_Toc20605"/>
      <w:bookmarkStart w:id="192" w:name="_Toc4250"/>
      <w:bookmarkStart w:id="193" w:name="_Toc8925"/>
      <w:bookmarkStart w:id="194" w:name="_Toc19291"/>
      <w:bookmarkStart w:id="195" w:name="_Toc6217"/>
      <w:bookmarkStart w:id="196" w:name="_Toc76373912"/>
      <w:bookmarkStart w:id="197" w:name="_Toc16151"/>
      <w:r>
        <w:rPr>
          <w:rFonts w:hint="eastAsia" w:cs="宋体"/>
          <w:b/>
          <w:color w:val="auto"/>
          <w:szCs w:val="28"/>
        </w:rPr>
        <w:t>四、资格文件</w:t>
      </w:r>
      <w:bookmarkEnd w:id="189"/>
      <w:bookmarkEnd w:id="190"/>
      <w:bookmarkEnd w:id="191"/>
      <w:bookmarkEnd w:id="192"/>
      <w:bookmarkEnd w:id="193"/>
      <w:bookmarkEnd w:id="194"/>
      <w:bookmarkEnd w:id="195"/>
      <w:bookmarkEnd w:id="196"/>
      <w:bookmarkEnd w:id="197"/>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8" w:name="_Toc27718"/>
      <w:r>
        <w:rPr>
          <w:rFonts w:hint="eastAsia" w:ascii="宋体" w:hAnsi="宋体" w:cs="宋体"/>
          <w:color w:val="auto"/>
        </w:rPr>
        <w:br w:type="column"/>
      </w:r>
      <w:r>
        <w:rPr>
          <w:rFonts w:hint="eastAsia" w:cs="宋体"/>
          <w:b/>
          <w:color w:val="auto"/>
          <w:szCs w:val="28"/>
        </w:rPr>
        <w:t>五、商业活动廉洁经营承诺书</w:t>
      </w:r>
      <w:bookmarkEnd w:id="198"/>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0FFBDF15">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453C259-D84A-4EE2-B858-A6AAC0B361CE}"/>
  </w:font>
  <w:font w:name="黑体">
    <w:panose1 w:val="02010609060101010101"/>
    <w:charset w:val="86"/>
    <w:family w:val="auto"/>
    <w:pitch w:val="default"/>
    <w:sig w:usb0="800002BF" w:usb1="38CF7CFA" w:usb2="00000016" w:usb3="00000000" w:csb0="00040001" w:csb1="00000000"/>
    <w:embedRegular r:id="rId2" w:fontKey="{8AA0B871-E6CF-4F30-92C1-475ED87BBDA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1F2C2C2B-72C5-4B63-A2B9-9818BDDE3844}"/>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4BAE738A-3740-49E8-8279-D95CFF5F511A}"/>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A8EBBB4D-3101-4EAB-9D90-08AAA6CB63DB}"/>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4AD0706B-4420-4A74-B3C0-C2F39DE7C4DE}"/>
  </w:font>
  <w:font w:name="方正黑体_GBK">
    <w:panose1 w:val="03000509000000000000"/>
    <w:charset w:val="86"/>
    <w:family w:val="script"/>
    <w:pitch w:val="default"/>
    <w:sig w:usb0="00000001" w:usb1="080E0000" w:usb2="00000000" w:usb3="00000000" w:csb0="00040000" w:csb1="00000000"/>
    <w:embedRegular r:id="rId7" w:fontKey="{AC4002FE-4C94-437D-8CB1-2C6F8E26CC8B}"/>
  </w:font>
  <w:font w:name="方正小标宋_GBK">
    <w:panose1 w:val="03000509000000000000"/>
    <w:charset w:val="86"/>
    <w:family w:val="script"/>
    <w:pitch w:val="default"/>
    <w:sig w:usb0="00000001" w:usb1="080E0000" w:usb2="00000000" w:usb3="00000000" w:csb0="00040000" w:csb1="00000000"/>
    <w:embedRegular r:id="rId8" w:fontKey="{0ADF1905-D248-46E3-A5AE-5E2772F3E2B7}"/>
  </w:font>
  <w:font w:name="微软雅黑">
    <w:panose1 w:val="020B0503020204020204"/>
    <w:charset w:val="86"/>
    <w:family w:val="swiss"/>
    <w:pitch w:val="default"/>
    <w:sig w:usb0="80000287" w:usb1="2ACF3C50" w:usb2="00000016" w:usb3="00000000" w:csb0="0004001F" w:csb1="00000000"/>
    <w:embedRegular r:id="rId9" w:fontKey="{D7186579-05C4-4D47-9E39-677B261891EF}"/>
  </w:font>
  <w:font w:name="仿宋">
    <w:panose1 w:val="02010609060101010101"/>
    <w:charset w:val="86"/>
    <w:family w:val="modern"/>
    <w:pitch w:val="default"/>
    <w:sig w:usb0="800002BF" w:usb1="38CF7CFA" w:usb2="00000016" w:usb3="00000000" w:csb0="00040001" w:csb1="00000000"/>
    <w:embedRegular r:id="rId10" w:fontKey="{CBE5801E-A1C8-4DA9-8905-649FB5A88A23}"/>
  </w:font>
  <w:font w:name="WPSEMBED3">
    <w:panose1 w:val="03000509000000000000"/>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5">
    <w:panose1 w:val="03000509000000000000"/>
    <w:charset w:val="86"/>
    <w:family w:val="auto"/>
    <w:pitch w:val="default"/>
    <w:sig w:usb0="00000001" w:usb1="080E0000" w:usb2="00000000" w:usb3="00000000" w:csb0="00040000" w:csb1="00000000"/>
  </w:font>
  <w:font w:name="WPSEMBED2">
    <w:panose1 w:val="020B0604020202020204"/>
    <w:charset w:val="86"/>
    <w:family w:val="auto"/>
    <w:pitch w:val="default"/>
    <w:sig w:usb0="FFFFFFFF" w:usb1="E9FFFFFF" w:usb2="0000003F" w:usb3="00000000" w:csb0="603F01FF" w:csb1="FFFF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699214"/>
    <w:multiLevelType w:val="singleLevel"/>
    <w:tmpl w:val="05699214"/>
    <w:lvl w:ilvl="0" w:tentative="0">
      <w:start w:val="1"/>
      <w:numFmt w:val="decimal"/>
      <w:suff w:val="nothing"/>
      <w:lvlText w:val="%1、"/>
      <w:lvlJc w:val="left"/>
    </w:lvl>
  </w:abstractNum>
  <w:abstractNum w:abstractNumId="1">
    <w:nsid w:val="109B3829"/>
    <w:multiLevelType w:val="singleLevel"/>
    <w:tmpl w:val="109B3829"/>
    <w:lvl w:ilvl="0" w:tentative="0">
      <w:start w:val="1"/>
      <w:numFmt w:val="decimal"/>
      <w:suff w:val="nothing"/>
      <w:lvlText w:val="%1、"/>
      <w:lvlJc w:val="left"/>
    </w:lvl>
  </w:abstractNum>
  <w:abstractNum w:abstractNumId="2">
    <w:nsid w:val="50B1E8F2"/>
    <w:multiLevelType w:val="singleLevel"/>
    <w:tmpl w:val="50B1E8F2"/>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E45A44"/>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537889"/>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C5161"/>
    <w:rsid w:val="10DB1C9F"/>
    <w:rsid w:val="111F4A5A"/>
    <w:rsid w:val="113373E5"/>
    <w:rsid w:val="115A0D82"/>
    <w:rsid w:val="116D4DA7"/>
    <w:rsid w:val="117D183D"/>
    <w:rsid w:val="11D57688"/>
    <w:rsid w:val="11E57A0B"/>
    <w:rsid w:val="120945EA"/>
    <w:rsid w:val="120B0365"/>
    <w:rsid w:val="12225E6D"/>
    <w:rsid w:val="12292BF8"/>
    <w:rsid w:val="123E0FC1"/>
    <w:rsid w:val="12432BD2"/>
    <w:rsid w:val="124B1EC8"/>
    <w:rsid w:val="124E6F34"/>
    <w:rsid w:val="126006AE"/>
    <w:rsid w:val="127E6A08"/>
    <w:rsid w:val="128974EF"/>
    <w:rsid w:val="12C926DD"/>
    <w:rsid w:val="12CD2621"/>
    <w:rsid w:val="12DA4048"/>
    <w:rsid w:val="12F62DC0"/>
    <w:rsid w:val="130D010A"/>
    <w:rsid w:val="135B2C24"/>
    <w:rsid w:val="135D699C"/>
    <w:rsid w:val="13715463"/>
    <w:rsid w:val="13E52DC4"/>
    <w:rsid w:val="13F02804"/>
    <w:rsid w:val="140D0766"/>
    <w:rsid w:val="146D061A"/>
    <w:rsid w:val="147246C9"/>
    <w:rsid w:val="148B50A7"/>
    <w:rsid w:val="14922675"/>
    <w:rsid w:val="156B048A"/>
    <w:rsid w:val="158D4B19"/>
    <w:rsid w:val="15A11B3C"/>
    <w:rsid w:val="15BE1509"/>
    <w:rsid w:val="15E2587E"/>
    <w:rsid w:val="16B60DAC"/>
    <w:rsid w:val="16B76298"/>
    <w:rsid w:val="16D01B7A"/>
    <w:rsid w:val="16D71809"/>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41982"/>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B67A46"/>
    <w:rsid w:val="1DDC235C"/>
    <w:rsid w:val="1E0868EA"/>
    <w:rsid w:val="1E2E192B"/>
    <w:rsid w:val="1E3649B9"/>
    <w:rsid w:val="1E37496F"/>
    <w:rsid w:val="1E770B63"/>
    <w:rsid w:val="1E9952FE"/>
    <w:rsid w:val="1EB902E5"/>
    <w:rsid w:val="1EBC0009"/>
    <w:rsid w:val="1EDF1AE0"/>
    <w:rsid w:val="1EDF4738"/>
    <w:rsid w:val="1EE405B4"/>
    <w:rsid w:val="1F264D74"/>
    <w:rsid w:val="1F3D184A"/>
    <w:rsid w:val="1F4924CA"/>
    <w:rsid w:val="1F5618CC"/>
    <w:rsid w:val="1F6068FA"/>
    <w:rsid w:val="1F954680"/>
    <w:rsid w:val="1FC059EA"/>
    <w:rsid w:val="1FE16D25"/>
    <w:rsid w:val="1FF24910"/>
    <w:rsid w:val="1FF87B4F"/>
    <w:rsid w:val="1FFB37C4"/>
    <w:rsid w:val="20112FE8"/>
    <w:rsid w:val="204C2272"/>
    <w:rsid w:val="207F49AA"/>
    <w:rsid w:val="2091237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151EA8"/>
    <w:rsid w:val="242477F2"/>
    <w:rsid w:val="2433701E"/>
    <w:rsid w:val="24396D35"/>
    <w:rsid w:val="244D0366"/>
    <w:rsid w:val="2483014E"/>
    <w:rsid w:val="24C70583"/>
    <w:rsid w:val="24EC5DD1"/>
    <w:rsid w:val="24FE0AAE"/>
    <w:rsid w:val="250133CD"/>
    <w:rsid w:val="2524556B"/>
    <w:rsid w:val="25336AE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AF5973"/>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CB43C4"/>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17CC7"/>
    <w:rsid w:val="2A4E0418"/>
    <w:rsid w:val="2A61691A"/>
    <w:rsid w:val="2AA32FDC"/>
    <w:rsid w:val="2AAE434B"/>
    <w:rsid w:val="2ABA73DE"/>
    <w:rsid w:val="2ACA2711"/>
    <w:rsid w:val="2AF57FA3"/>
    <w:rsid w:val="2AFE060C"/>
    <w:rsid w:val="2B0C5FF2"/>
    <w:rsid w:val="2B285A09"/>
    <w:rsid w:val="2B3264F9"/>
    <w:rsid w:val="2B48517B"/>
    <w:rsid w:val="2B723D14"/>
    <w:rsid w:val="2B8B0759"/>
    <w:rsid w:val="2B924CE2"/>
    <w:rsid w:val="2B9B21BC"/>
    <w:rsid w:val="2BA52AAD"/>
    <w:rsid w:val="2BA91CBB"/>
    <w:rsid w:val="2BB51860"/>
    <w:rsid w:val="2BB62C95"/>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A734F4"/>
    <w:rsid w:val="30A91101"/>
    <w:rsid w:val="30A91DD9"/>
    <w:rsid w:val="30B30929"/>
    <w:rsid w:val="30D03A8B"/>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A92190"/>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252133"/>
    <w:rsid w:val="3A3A4200"/>
    <w:rsid w:val="3A3F02FA"/>
    <w:rsid w:val="3A606BEE"/>
    <w:rsid w:val="3A61177C"/>
    <w:rsid w:val="3A614714"/>
    <w:rsid w:val="3A8310D0"/>
    <w:rsid w:val="3AB808CE"/>
    <w:rsid w:val="3AD2116E"/>
    <w:rsid w:val="3AE66A84"/>
    <w:rsid w:val="3B0D363F"/>
    <w:rsid w:val="3B333C93"/>
    <w:rsid w:val="3B4C5C32"/>
    <w:rsid w:val="3B5A188F"/>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91843"/>
    <w:rsid w:val="3DFF7CEF"/>
    <w:rsid w:val="3E271643"/>
    <w:rsid w:val="3E2E0DA2"/>
    <w:rsid w:val="3E32228E"/>
    <w:rsid w:val="3E8310FD"/>
    <w:rsid w:val="3E860BED"/>
    <w:rsid w:val="3E88226F"/>
    <w:rsid w:val="3EA6703C"/>
    <w:rsid w:val="3EBF0F87"/>
    <w:rsid w:val="3EDC25BB"/>
    <w:rsid w:val="3EDC2BF0"/>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E81CBA"/>
    <w:rsid w:val="45224346"/>
    <w:rsid w:val="45335FE1"/>
    <w:rsid w:val="454516CB"/>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0D79BB"/>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A4A06"/>
    <w:rsid w:val="4B837D34"/>
    <w:rsid w:val="4B962957"/>
    <w:rsid w:val="4BB5582F"/>
    <w:rsid w:val="4BD118E0"/>
    <w:rsid w:val="4BDE3E16"/>
    <w:rsid w:val="4BE372DC"/>
    <w:rsid w:val="4BEC2CBC"/>
    <w:rsid w:val="4CC72D98"/>
    <w:rsid w:val="4CD90133"/>
    <w:rsid w:val="4CE83F1B"/>
    <w:rsid w:val="4D0F6379"/>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50385B91"/>
    <w:rsid w:val="503F0BFC"/>
    <w:rsid w:val="507C6E09"/>
    <w:rsid w:val="50962F12"/>
    <w:rsid w:val="50BF40CD"/>
    <w:rsid w:val="50DB26D2"/>
    <w:rsid w:val="5106687C"/>
    <w:rsid w:val="51154388"/>
    <w:rsid w:val="514C2F31"/>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2F6424"/>
    <w:rsid w:val="5B6A2566"/>
    <w:rsid w:val="5B8A1F1F"/>
    <w:rsid w:val="5BA66C84"/>
    <w:rsid w:val="5BB8371C"/>
    <w:rsid w:val="5C6D0DBF"/>
    <w:rsid w:val="5C7659A5"/>
    <w:rsid w:val="5C820917"/>
    <w:rsid w:val="5C961BA3"/>
    <w:rsid w:val="5CA7535F"/>
    <w:rsid w:val="5CB2531C"/>
    <w:rsid w:val="5CC67BF9"/>
    <w:rsid w:val="5CCD61CB"/>
    <w:rsid w:val="5CEB1EEF"/>
    <w:rsid w:val="5D013021"/>
    <w:rsid w:val="5D316CFC"/>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E53C3"/>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AE52674"/>
    <w:rsid w:val="6B193969"/>
    <w:rsid w:val="6B6F096D"/>
    <w:rsid w:val="6B8A321B"/>
    <w:rsid w:val="6BA41ECD"/>
    <w:rsid w:val="6BD821D8"/>
    <w:rsid w:val="6BE71141"/>
    <w:rsid w:val="6C3D64DF"/>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3B0F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55386E"/>
    <w:rsid w:val="78654DF4"/>
    <w:rsid w:val="78881AC3"/>
    <w:rsid w:val="78A77F37"/>
    <w:rsid w:val="78AC0D11"/>
    <w:rsid w:val="78CA10FB"/>
    <w:rsid w:val="78FB3726"/>
    <w:rsid w:val="79037688"/>
    <w:rsid w:val="7915769B"/>
    <w:rsid w:val="79360969"/>
    <w:rsid w:val="7938796B"/>
    <w:rsid w:val="796C3F60"/>
    <w:rsid w:val="796F3ADB"/>
    <w:rsid w:val="79774D4A"/>
    <w:rsid w:val="798A1875"/>
    <w:rsid w:val="798B1C36"/>
    <w:rsid w:val="79C227D8"/>
    <w:rsid w:val="79DA59F4"/>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5629</Words>
  <Characters>5758</Characters>
  <Lines>101</Lines>
  <Paragraphs>28</Paragraphs>
  <TotalTime>4</TotalTime>
  <ScaleCrop>false</ScaleCrop>
  <LinksUpToDate>false</LinksUpToDate>
  <CharactersWithSpaces>6306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Hello</cp:lastModifiedBy>
  <cp:lastPrinted>2025-05-22T03:57:00Z</cp:lastPrinted>
  <dcterms:modified xsi:type="dcterms:W3CDTF">2026-09-09T07:01:11Z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82C2EA0F93ED4954BD93411BC017189A_13</vt:lpwstr>
  </property>
  <property fmtid="{D5CDD505-2E9C-101B-9397-08002B2CF9AE}" pid="4" name="KSOTemplateDocerSaveRecord">
    <vt:lpwstr>eyJoZGlkIjoiMzc1OGNlMDJlMzRlMzMzYmE1ZjU3MzU3ZjgyMjI5MWIiLCJ1c2VySWQiOiIxMjgyNDcwNjU2In0=</vt:lpwstr>
  </property>
</Properties>
</file>