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74A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ascii="Georgia" w:hAnsi="Georgia" w:eastAsia="Georgia" w:cs="Georgia"/>
          <w:b/>
          <w:bCs/>
          <w:i w:val="0"/>
          <w:iCs w:val="0"/>
          <w:caps w:val="0"/>
          <w:color w:val="001E62"/>
          <w:spacing w:val="0"/>
          <w:sz w:val="36"/>
          <w:szCs w:val="36"/>
        </w:rPr>
      </w:pPr>
      <w:r>
        <w:rPr>
          <w:rFonts w:ascii="方正小标宋_GBK" w:hAnsi="方正小标宋_GBK" w:eastAsia="方正小标宋_GBK" w:cs="方正小标宋_GBK"/>
          <w:b w:val="0"/>
          <w:bCs w:val="0"/>
          <w:i w:val="0"/>
          <w:iCs w:val="0"/>
          <w:caps w:val="0"/>
          <w:color w:val="333333"/>
          <w:spacing w:val="0"/>
          <w:sz w:val="36"/>
          <w:szCs w:val="36"/>
        </w:rPr>
        <w:t>重庆医科大学附属第</w:t>
      </w:r>
      <w:r>
        <w:rPr>
          <w:rFonts w:hint="eastAsia" w:ascii="方正小标宋_GBK" w:hAnsi="方正小标宋_GBK" w:eastAsia="方正小标宋_GBK" w:cs="方正小标宋_GBK"/>
          <w:b w:val="0"/>
          <w:bCs w:val="0"/>
          <w:i w:val="0"/>
          <w:iCs w:val="0"/>
          <w:caps w:val="0"/>
          <w:color w:val="333333"/>
          <w:spacing w:val="0"/>
          <w:sz w:val="36"/>
          <w:szCs w:val="36"/>
          <w:lang w:val="en-US" w:eastAsia="zh-CN"/>
        </w:rPr>
        <w:t>二</w:t>
      </w:r>
      <w:r>
        <w:rPr>
          <w:rFonts w:ascii="方正小标宋_GBK" w:hAnsi="方正小标宋_GBK" w:eastAsia="方正小标宋_GBK" w:cs="方正小标宋_GBK"/>
          <w:b w:val="0"/>
          <w:bCs w:val="0"/>
          <w:i w:val="0"/>
          <w:iCs w:val="0"/>
          <w:caps w:val="0"/>
          <w:color w:val="333333"/>
          <w:spacing w:val="0"/>
          <w:sz w:val="36"/>
          <w:szCs w:val="36"/>
        </w:rPr>
        <w:t>医院</w:t>
      </w:r>
    </w:p>
    <w:p w14:paraId="587EB3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center"/>
        <w:rPr>
          <w:rFonts w:hint="default" w:ascii="Georgia" w:hAnsi="Georgia" w:eastAsia="方正小标宋_GBK" w:cs="Georgia"/>
          <w:b/>
          <w:bCs/>
          <w:i w:val="0"/>
          <w:iCs w:val="0"/>
          <w:caps w:val="0"/>
          <w:color w:val="001E62"/>
          <w:spacing w:val="0"/>
          <w:sz w:val="36"/>
          <w:szCs w:val="36"/>
          <w:lang w:val="en-US" w:eastAsia="zh-CN"/>
        </w:rPr>
      </w:pPr>
      <w:r>
        <w:rPr>
          <w:rFonts w:hint="default" w:ascii="方正小标宋_GBK" w:hAnsi="方正小标宋_GBK" w:eastAsia="方正小标宋_GBK" w:cs="方正小标宋_GBK"/>
          <w:b w:val="0"/>
          <w:bCs w:val="0"/>
          <w:i w:val="0"/>
          <w:iCs w:val="0"/>
          <w:caps w:val="0"/>
          <w:color w:val="333333"/>
          <w:spacing w:val="0"/>
          <w:sz w:val="36"/>
          <w:szCs w:val="36"/>
        </w:rPr>
        <w:t>医改监测数据质量提升服务</w:t>
      </w:r>
      <w:r>
        <w:rPr>
          <w:rFonts w:hint="eastAsia" w:ascii="方正小标宋_GBK" w:hAnsi="方正小标宋_GBK" w:eastAsia="方正小标宋_GBK" w:cs="方正小标宋_GBK"/>
          <w:b w:val="0"/>
          <w:bCs w:val="0"/>
          <w:i w:val="0"/>
          <w:iCs w:val="0"/>
          <w:caps w:val="0"/>
          <w:color w:val="333333"/>
          <w:spacing w:val="0"/>
          <w:sz w:val="36"/>
          <w:szCs w:val="36"/>
          <w:lang w:val="en-US" w:eastAsia="zh-CN"/>
        </w:rPr>
        <w:t>要求</w:t>
      </w:r>
    </w:p>
    <w:p w14:paraId="3E6B2A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left="0" w:right="0" w:firstLine="596"/>
        <w:jc w:val="left"/>
        <w:rPr>
          <w:rFonts w:hint="eastAsia" w:ascii="Microsoft YaHei UI" w:hAnsi="Microsoft YaHei UI" w:eastAsia="Microsoft YaHei UI" w:cs="Microsoft YaHei UI"/>
          <w:i w:val="0"/>
          <w:iCs w:val="0"/>
          <w:caps w:val="0"/>
          <w:color w:val="000000"/>
          <w:spacing w:val="0"/>
          <w:sz w:val="24"/>
          <w:szCs w:val="24"/>
        </w:rPr>
      </w:pPr>
      <w:r>
        <w:rPr>
          <w:rFonts w:hint="eastAsia" w:ascii="方正仿宋_GBK" w:hAnsi="方正仿宋_GBK" w:eastAsia="方正仿宋_GBK" w:cs="方正仿宋_GBK"/>
          <w:i w:val="0"/>
          <w:iCs w:val="0"/>
          <w:caps w:val="0"/>
          <w:color w:val="000000"/>
          <w:spacing w:val="9"/>
          <w:kern w:val="0"/>
          <w:sz w:val="28"/>
          <w:szCs w:val="28"/>
          <w:lang w:val="en-US" w:eastAsia="zh-CN" w:bidi="ar"/>
        </w:rPr>
        <w:t>（一）项目名称：医改监测数据上传质量提升服务</w:t>
      </w:r>
    </w:p>
    <w:p w14:paraId="09A51D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left="0" w:right="0" w:firstLine="596"/>
        <w:jc w:val="left"/>
        <w:rPr>
          <w:rFonts w:hint="eastAsia" w:ascii="Microsoft YaHei UI" w:hAnsi="Microsoft YaHei UI" w:eastAsia="Microsoft YaHei UI" w:cs="Microsoft YaHei UI"/>
          <w:i w:val="0"/>
          <w:iCs w:val="0"/>
          <w:caps w:val="0"/>
          <w:color w:val="000000"/>
          <w:spacing w:val="0"/>
          <w:sz w:val="24"/>
          <w:szCs w:val="24"/>
        </w:rPr>
      </w:pPr>
      <w:r>
        <w:rPr>
          <w:rFonts w:hint="eastAsia" w:ascii="方正仿宋_GBK" w:hAnsi="方正仿宋_GBK" w:eastAsia="方正仿宋_GBK" w:cs="方正仿宋_GBK"/>
          <w:i w:val="0"/>
          <w:iCs w:val="0"/>
          <w:caps w:val="0"/>
          <w:color w:val="000000"/>
          <w:spacing w:val="9"/>
          <w:kern w:val="0"/>
          <w:sz w:val="28"/>
          <w:szCs w:val="28"/>
          <w:lang w:val="en-US" w:eastAsia="zh-CN" w:bidi="ar"/>
        </w:rPr>
        <w:t>（二）项目目标</w:t>
      </w:r>
    </w:p>
    <w:p w14:paraId="16D7CF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left="0" w:right="0" w:firstLine="420"/>
        <w:jc w:val="left"/>
        <w:rPr>
          <w:rFonts w:hint="eastAsia" w:ascii="Microsoft YaHei UI" w:hAnsi="Microsoft YaHei UI" w:eastAsia="Microsoft YaHei UI" w:cs="Microsoft YaHei UI"/>
          <w:i w:val="0"/>
          <w:iCs w:val="0"/>
          <w:caps w:val="0"/>
          <w:color w:val="000000"/>
          <w:spacing w:val="0"/>
          <w:sz w:val="24"/>
          <w:szCs w:val="24"/>
        </w:rPr>
      </w:pPr>
      <w:r>
        <w:rPr>
          <w:rFonts w:hint="default" w:ascii="Times New Roman" w:hAnsi="Times New Roman" w:eastAsia="Microsoft YaHei UI" w:cs="Times New Roman"/>
          <w:i w:val="0"/>
          <w:iCs w:val="0"/>
          <w:caps w:val="0"/>
          <w:color w:val="000000"/>
          <w:spacing w:val="0"/>
          <w:kern w:val="0"/>
          <w:sz w:val="21"/>
          <w:szCs w:val="21"/>
          <w:lang w:val="en-US" w:eastAsia="zh-CN" w:bidi="ar"/>
        </w:rPr>
        <w:t> </w:t>
      </w:r>
      <w:r>
        <w:rPr>
          <w:rFonts w:hint="eastAsia" w:ascii="方正仿宋_GBK" w:hAnsi="方正仿宋_GBK" w:eastAsia="方正仿宋_GBK" w:cs="方正仿宋_GBK"/>
          <w:i w:val="0"/>
          <w:iCs w:val="0"/>
          <w:caps w:val="0"/>
          <w:color w:val="000000"/>
          <w:spacing w:val="9"/>
          <w:kern w:val="0"/>
          <w:sz w:val="28"/>
          <w:szCs w:val="28"/>
          <w:lang w:val="en-US" w:eastAsia="zh-CN" w:bidi="ar"/>
        </w:rPr>
        <w:t>根据重庆市卫生健康委员会办公室发布的《关于开展重庆市智慧健康核心数据集采集工作的通知》，为加快推动我市卫生健康事业高质量发展，夯实数字健康建设数据基础，按照</w:t>
      </w:r>
      <w:r>
        <w:rPr>
          <w:rFonts w:hint="default" w:ascii="Times New Roman" w:hAnsi="Times New Roman" w:eastAsia="Microsoft YaHei UI" w:cs="Times New Roman"/>
          <w:i w:val="0"/>
          <w:iCs w:val="0"/>
          <w:caps w:val="0"/>
          <w:color w:val="000000"/>
          <w:spacing w:val="9"/>
          <w:kern w:val="0"/>
          <w:sz w:val="28"/>
          <w:szCs w:val="28"/>
          <w:lang w:val="en-US" w:eastAsia="zh-CN" w:bidi="ar"/>
        </w:rPr>
        <w:t>“</w:t>
      </w:r>
      <w:r>
        <w:rPr>
          <w:rFonts w:hint="eastAsia" w:ascii="方正仿宋_GBK" w:hAnsi="方正仿宋_GBK" w:eastAsia="方正仿宋_GBK" w:cs="方正仿宋_GBK"/>
          <w:i w:val="0"/>
          <w:iCs w:val="0"/>
          <w:caps w:val="0"/>
          <w:color w:val="000000"/>
          <w:spacing w:val="9"/>
          <w:kern w:val="0"/>
          <w:sz w:val="28"/>
          <w:szCs w:val="28"/>
          <w:lang w:val="en-US" w:eastAsia="zh-CN" w:bidi="ar"/>
        </w:rPr>
        <w:t>统筹集约、标准统一</w:t>
      </w:r>
      <w:r>
        <w:rPr>
          <w:rFonts w:hint="default" w:ascii="Times New Roman" w:hAnsi="Times New Roman" w:eastAsia="Microsoft YaHei UI" w:cs="Times New Roman"/>
          <w:i w:val="0"/>
          <w:iCs w:val="0"/>
          <w:caps w:val="0"/>
          <w:color w:val="000000"/>
          <w:spacing w:val="9"/>
          <w:kern w:val="0"/>
          <w:sz w:val="28"/>
          <w:szCs w:val="28"/>
          <w:lang w:val="en-US" w:eastAsia="zh-CN" w:bidi="ar"/>
        </w:rPr>
        <w:t>”</w:t>
      </w:r>
      <w:r>
        <w:rPr>
          <w:rFonts w:hint="eastAsia" w:ascii="方正仿宋_GBK" w:hAnsi="方正仿宋_GBK" w:eastAsia="方正仿宋_GBK" w:cs="方正仿宋_GBK"/>
          <w:i w:val="0"/>
          <w:iCs w:val="0"/>
          <w:caps w:val="0"/>
          <w:color w:val="000000"/>
          <w:spacing w:val="9"/>
          <w:kern w:val="0"/>
          <w:sz w:val="28"/>
          <w:szCs w:val="28"/>
          <w:lang w:val="en-US" w:eastAsia="zh-CN" w:bidi="ar"/>
        </w:rPr>
        <w:t>的原则，在重庆市数据采集基础上统一开展重庆市智慧健康核心数据集采集工作，通知要求升级改造医改监测平台数据采集范围和功能。</w:t>
      </w:r>
      <w:r>
        <w:rPr>
          <w:rFonts w:hint="default" w:ascii="Times New Roman" w:hAnsi="Times New Roman" w:eastAsia="Microsoft YaHei UI" w:cs="Times New Roman"/>
          <w:i w:val="0"/>
          <w:iCs w:val="0"/>
          <w:caps w:val="0"/>
          <w:color w:val="000000"/>
          <w:spacing w:val="9"/>
          <w:kern w:val="0"/>
          <w:sz w:val="28"/>
          <w:szCs w:val="28"/>
          <w:lang w:val="en-US" w:eastAsia="zh-CN" w:bidi="ar"/>
        </w:rPr>
        <w:br w:type="textWrapping"/>
      </w:r>
      <w:r>
        <w:rPr>
          <w:rFonts w:hint="default" w:ascii="Times New Roman" w:hAnsi="Times New Roman" w:eastAsia="Microsoft YaHei UI" w:cs="Times New Roman"/>
          <w:i w:val="0"/>
          <w:iCs w:val="0"/>
          <w:caps w:val="0"/>
          <w:color w:val="000000"/>
          <w:spacing w:val="9"/>
          <w:kern w:val="0"/>
          <w:sz w:val="28"/>
          <w:szCs w:val="28"/>
          <w:lang w:val="en-US" w:eastAsia="zh-CN" w:bidi="ar"/>
        </w:rPr>
        <w:t>        </w:t>
      </w:r>
      <w:r>
        <w:rPr>
          <w:rFonts w:hint="eastAsia" w:ascii="方正仿宋_GBK" w:hAnsi="方正仿宋_GBK" w:eastAsia="方正仿宋_GBK" w:cs="方正仿宋_GBK"/>
          <w:i w:val="0"/>
          <w:iCs w:val="0"/>
          <w:caps w:val="0"/>
          <w:color w:val="000000"/>
          <w:spacing w:val="9"/>
          <w:kern w:val="0"/>
          <w:sz w:val="28"/>
          <w:szCs w:val="28"/>
          <w:lang w:val="en-US" w:eastAsia="zh-CN" w:bidi="ar"/>
        </w:rPr>
        <w:t>为提升医改监测数据上传质量，对标市级考核五大指标，分析扣分原因，指导提升得分，拟采购医改监测数据上传质量提升服务。</w:t>
      </w:r>
    </w:p>
    <w:p w14:paraId="7AE17D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2E1384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0B8AF9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411130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033153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7363F4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359E05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方正仿宋_GBK" w:hAnsi="方正仿宋_GBK" w:eastAsia="方正仿宋_GBK" w:cs="方正仿宋_GBK"/>
          <w:i w:val="0"/>
          <w:iCs w:val="0"/>
          <w:caps w:val="0"/>
          <w:color w:val="000000"/>
          <w:spacing w:val="9"/>
          <w:kern w:val="0"/>
          <w:sz w:val="28"/>
          <w:szCs w:val="28"/>
          <w:lang w:val="en-US" w:eastAsia="zh-CN" w:bidi="ar"/>
        </w:rPr>
      </w:pPr>
    </w:p>
    <w:p w14:paraId="57F300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560" w:lineRule="atLeast"/>
        <w:ind w:right="0"/>
        <w:jc w:val="left"/>
        <w:rPr>
          <w:rFonts w:hint="eastAsia" w:ascii="Microsoft YaHei UI" w:hAnsi="Microsoft YaHei UI" w:eastAsia="Microsoft YaHei UI" w:cs="Microsoft YaHei UI"/>
          <w:i w:val="0"/>
          <w:iCs w:val="0"/>
          <w:caps w:val="0"/>
          <w:color w:val="000000"/>
          <w:spacing w:val="0"/>
          <w:sz w:val="24"/>
          <w:szCs w:val="24"/>
        </w:rPr>
      </w:pPr>
      <w:r>
        <w:rPr>
          <w:rFonts w:hint="eastAsia" w:ascii="方正仿宋_GBK" w:hAnsi="方正仿宋_GBK" w:eastAsia="方正仿宋_GBK" w:cs="方正仿宋_GBK"/>
          <w:i w:val="0"/>
          <w:iCs w:val="0"/>
          <w:caps w:val="0"/>
          <w:color w:val="000000"/>
          <w:spacing w:val="9"/>
          <w:kern w:val="0"/>
          <w:sz w:val="28"/>
          <w:szCs w:val="28"/>
          <w:lang w:val="en-US" w:eastAsia="zh-CN" w:bidi="ar"/>
        </w:rPr>
        <w:t>（三）项目服务清单如下：</w:t>
      </w:r>
      <w:bookmarkStart w:id="0" w:name="_GoBack"/>
      <w:bookmarkEnd w:id="0"/>
    </w:p>
    <w:tbl>
      <w:tblPr>
        <w:tblStyle w:val="4"/>
        <w:tblW w:w="8522"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9"/>
        <w:gridCol w:w="2637"/>
        <w:gridCol w:w="570"/>
        <w:gridCol w:w="4666"/>
      </w:tblGrid>
      <w:tr w14:paraId="18F43F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B8CC0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rPr>
                <w:rFonts w:hint="eastAsia" w:ascii="方正仿宋_GBK" w:hAnsi="Microsoft YaHei UI" w:eastAsia="方正仿宋_GBK" w:cs="Microsoft YaHei UI"/>
                <w:b/>
                <w:sz w:val="28"/>
                <w:szCs w:val="24"/>
              </w:rPr>
            </w:pPr>
            <w:r>
              <w:rPr>
                <w:rFonts w:hint="default" w:ascii="Times New Roman" w:hAnsi="Times New Roman" w:eastAsia="Microsoft YaHei UI" w:cs="Times New Roman"/>
                <w:i w:val="0"/>
                <w:iCs w:val="0"/>
                <w:caps w:val="0"/>
                <w:color w:val="000000"/>
                <w:spacing w:val="9"/>
                <w:sz w:val="28"/>
                <w:szCs w:val="28"/>
              </w:rPr>
              <w:t> </w:t>
            </w:r>
            <w:r>
              <w:rPr>
                <w:rFonts w:hint="eastAsia" w:ascii="方正仿宋_GBK" w:hAnsi="方正仿宋_GBK" w:eastAsia="方正仿宋_GBK" w:cs="方正仿宋_GBK"/>
                <w:b/>
                <w:bCs/>
                <w:kern w:val="0"/>
                <w:sz w:val="28"/>
                <w:szCs w:val="28"/>
                <w:lang w:val="en-US" w:eastAsia="zh-CN" w:bidi="ar"/>
              </w:rPr>
              <w:t>序号</w:t>
            </w:r>
          </w:p>
        </w:tc>
        <w:tc>
          <w:tcPr>
            <w:tcW w:w="263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1905BF2">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b/>
                <w:sz w:val="28"/>
                <w:szCs w:val="24"/>
              </w:rPr>
            </w:pPr>
            <w:r>
              <w:rPr>
                <w:rFonts w:hint="eastAsia" w:ascii="方正仿宋_GBK" w:hAnsi="方正仿宋_GBK" w:eastAsia="方正仿宋_GBK" w:cs="方正仿宋_GBK"/>
                <w:b/>
                <w:bCs/>
                <w:kern w:val="0"/>
                <w:sz w:val="28"/>
                <w:szCs w:val="28"/>
                <w:lang w:val="en-US" w:eastAsia="zh-CN" w:bidi="ar"/>
              </w:rPr>
              <w:t>内容</w:t>
            </w:r>
          </w:p>
        </w:tc>
        <w:tc>
          <w:tcPr>
            <w:tcW w:w="0" w:type="auto"/>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FEE33F9">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b/>
                <w:sz w:val="28"/>
                <w:szCs w:val="24"/>
              </w:rPr>
            </w:pPr>
            <w:r>
              <w:rPr>
                <w:rFonts w:hint="eastAsia" w:ascii="方正仿宋_GBK" w:hAnsi="方正仿宋_GBK" w:eastAsia="方正仿宋_GBK" w:cs="方正仿宋_GBK"/>
                <w:b/>
                <w:bCs/>
                <w:kern w:val="0"/>
                <w:sz w:val="28"/>
                <w:szCs w:val="28"/>
                <w:lang w:val="en-US" w:eastAsia="zh-CN" w:bidi="ar"/>
              </w:rPr>
              <w:t>类型</w:t>
            </w:r>
          </w:p>
        </w:tc>
        <w:tc>
          <w:tcPr>
            <w:tcW w:w="466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C77F5C3">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b/>
                <w:sz w:val="28"/>
                <w:szCs w:val="24"/>
              </w:rPr>
            </w:pPr>
            <w:r>
              <w:rPr>
                <w:rFonts w:hint="eastAsia" w:ascii="方正仿宋_GBK" w:hAnsi="方正仿宋_GBK" w:eastAsia="方正仿宋_GBK" w:cs="方正仿宋_GBK"/>
                <w:b/>
                <w:bCs/>
                <w:kern w:val="0"/>
                <w:sz w:val="28"/>
                <w:szCs w:val="28"/>
                <w:lang w:val="en-US" w:eastAsia="zh-CN" w:bidi="ar"/>
              </w:rPr>
              <w:t>描述</w:t>
            </w:r>
          </w:p>
        </w:tc>
      </w:tr>
      <w:tr w14:paraId="37E702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DD0CA40">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default" w:ascii="方正仿宋_GBK" w:hAnsi="Times New Roman" w:eastAsia="方正仿宋_GBK" w:cs="Times New Roman"/>
                <w:kern w:val="0"/>
                <w:sz w:val="28"/>
                <w:szCs w:val="28"/>
                <w:lang w:val="en-US" w:eastAsia="zh-CN" w:bidi="ar"/>
              </w:rPr>
              <w:t>1</w:t>
            </w:r>
          </w:p>
        </w:tc>
        <w:tc>
          <w:tcPr>
            <w:tcW w:w="263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867C90">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医改监测指标得分提升服务</w:t>
            </w:r>
          </w:p>
        </w:tc>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96DC37A">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服务</w:t>
            </w:r>
          </w:p>
        </w:tc>
        <w:tc>
          <w:tcPr>
            <w:tcW w:w="466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D3DE8C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对标市级考核五大指标，包括及时性、连续性、一致性、完整性、准确性，每月分析扣分原因，指导提升得分。</w:t>
            </w:r>
          </w:p>
        </w:tc>
      </w:tr>
      <w:tr w14:paraId="04B3C73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8323F4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default" w:ascii="方正仿宋_GBK" w:hAnsi="Times New Roman" w:eastAsia="方正仿宋_GBK" w:cs="Times New Roman"/>
                <w:kern w:val="0"/>
                <w:sz w:val="28"/>
                <w:szCs w:val="28"/>
                <w:lang w:val="en-US" w:eastAsia="zh-CN" w:bidi="ar"/>
              </w:rPr>
              <w:t>2</w:t>
            </w:r>
          </w:p>
        </w:tc>
        <w:tc>
          <w:tcPr>
            <w:tcW w:w="263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317D71E">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医改监测与直报一致性对比服务</w:t>
            </w:r>
          </w:p>
        </w:tc>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DDAA3D2">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服务</w:t>
            </w:r>
          </w:p>
        </w:tc>
        <w:tc>
          <w:tcPr>
            <w:tcW w:w="466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A11576F">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color w:val="0F1115"/>
                <w:spacing w:val="0"/>
                <w:kern w:val="0"/>
                <w:sz w:val="28"/>
                <w:szCs w:val="28"/>
                <w:lang w:val="en-US" w:eastAsia="zh-CN" w:bidi="ar"/>
              </w:rPr>
              <w:t>对标一致性指标，分析不合格原因，按月提供统计数据，协助排查异常。</w:t>
            </w:r>
          </w:p>
        </w:tc>
      </w:tr>
      <w:tr w14:paraId="0B175AE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08E52F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default" w:ascii="方正仿宋_GBK" w:hAnsi="Times New Roman" w:eastAsia="方正仿宋_GBK" w:cs="Times New Roman"/>
                <w:kern w:val="0"/>
                <w:sz w:val="28"/>
                <w:szCs w:val="28"/>
                <w:lang w:val="en-US" w:eastAsia="zh-CN" w:bidi="ar"/>
              </w:rPr>
              <w:t>3</w:t>
            </w:r>
          </w:p>
        </w:tc>
        <w:tc>
          <w:tcPr>
            <w:tcW w:w="263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F45D59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医改监测数据整改、过程进度提醒及协助服务</w:t>
            </w:r>
          </w:p>
        </w:tc>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881AF2B">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服务</w:t>
            </w:r>
          </w:p>
        </w:tc>
        <w:tc>
          <w:tcPr>
            <w:tcW w:w="466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E279AC8">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color w:val="0F1115"/>
                <w:spacing w:val="0"/>
                <w:kern w:val="0"/>
                <w:sz w:val="28"/>
                <w:szCs w:val="28"/>
                <w:lang w:val="en-US" w:eastAsia="zh-CN" w:bidi="ar"/>
              </w:rPr>
              <w:t>根据市级抽检及平台异常监测，及时提醒并给出整改建议</w:t>
            </w:r>
            <w:r>
              <w:rPr>
                <w:rFonts w:hint="eastAsia" w:ascii="方正仿宋_GBK" w:hAnsi="方正仿宋_GBK" w:eastAsia="方正仿宋_GBK" w:cs="方正仿宋_GBK"/>
                <w:kern w:val="0"/>
                <w:sz w:val="28"/>
                <w:szCs w:val="28"/>
                <w:lang w:val="en-US" w:eastAsia="zh-CN" w:bidi="ar"/>
              </w:rPr>
              <w:t>。</w:t>
            </w:r>
          </w:p>
        </w:tc>
      </w:tr>
      <w:tr w14:paraId="32146C1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EC628C4">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default" w:ascii="方正仿宋_GBK" w:hAnsi="Times New Roman" w:eastAsia="方正仿宋_GBK" w:cs="Times New Roman"/>
                <w:kern w:val="0"/>
                <w:sz w:val="28"/>
                <w:szCs w:val="28"/>
                <w:lang w:val="en-US" w:eastAsia="zh-CN" w:bidi="ar"/>
              </w:rPr>
              <w:t>4</w:t>
            </w:r>
          </w:p>
        </w:tc>
        <w:tc>
          <w:tcPr>
            <w:tcW w:w="263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A707F38">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其他与以上相关的指标动态服务</w:t>
            </w:r>
          </w:p>
        </w:tc>
        <w:tc>
          <w:tcPr>
            <w:tcW w:w="0" w:type="auto"/>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127F610">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kern w:val="0"/>
                <w:sz w:val="28"/>
                <w:szCs w:val="28"/>
                <w:lang w:val="en-US" w:eastAsia="zh-CN" w:bidi="ar"/>
              </w:rPr>
              <w:t>服务</w:t>
            </w:r>
          </w:p>
        </w:tc>
        <w:tc>
          <w:tcPr>
            <w:tcW w:w="466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873FF8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left"/>
              <w:rPr>
                <w:rFonts w:hint="eastAsia" w:ascii="方正仿宋_GBK" w:hAnsi="Microsoft YaHei UI" w:eastAsia="方正仿宋_GBK" w:cs="Microsoft YaHei UI"/>
                <w:sz w:val="28"/>
                <w:szCs w:val="24"/>
              </w:rPr>
            </w:pPr>
            <w:r>
              <w:rPr>
                <w:rFonts w:hint="eastAsia" w:ascii="方正仿宋_GBK" w:hAnsi="方正仿宋_GBK" w:eastAsia="方正仿宋_GBK" w:cs="方正仿宋_GBK"/>
                <w:color w:val="0F1115"/>
                <w:spacing w:val="0"/>
                <w:kern w:val="0"/>
                <w:sz w:val="28"/>
                <w:szCs w:val="28"/>
                <w:lang w:val="en-US" w:eastAsia="zh-CN" w:bidi="ar"/>
              </w:rPr>
              <w:t>根据市级其他考核要求，对以上指标提供相应配套服务。</w:t>
            </w:r>
          </w:p>
        </w:tc>
      </w:tr>
      <w:tr w14:paraId="264EA02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637"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319D86">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Microsoft YaHei UI" w:hAnsi="Microsoft YaHei UI" w:eastAsia="Microsoft YaHei UI" w:cs="Microsoft YaHei UI"/>
                <w:sz w:val="24"/>
                <w:szCs w:val="24"/>
              </w:rPr>
            </w:pPr>
            <w:r>
              <w:rPr>
                <w:rFonts w:hint="eastAsia" w:ascii="方正仿宋_GBK" w:hAnsi="方正仿宋_GBK" w:eastAsia="方正仿宋_GBK" w:cs="方正仿宋_GBK"/>
                <w:kern w:val="0"/>
                <w:sz w:val="28"/>
                <w:szCs w:val="28"/>
                <w:lang w:val="en-US" w:eastAsia="zh-CN" w:bidi="ar"/>
              </w:rPr>
              <w:t>服务周期</w:t>
            </w:r>
          </w:p>
        </w:tc>
        <w:tc>
          <w:tcPr>
            <w:tcW w:w="466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63D054F">
            <w:pPr>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120" w:afterAutospacing="0" w:line="240" w:lineRule="auto"/>
              <w:ind w:left="0" w:leftChars="0" w:right="0" w:rightChars="0" w:firstLine="0" w:firstLineChars="0"/>
              <w:jc w:val="center"/>
              <w:rPr>
                <w:rFonts w:hint="eastAsia" w:ascii="Microsoft YaHei UI" w:hAnsi="Microsoft YaHei UI" w:eastAsia="Microsoft YaHei UI" w:cs="Microsoft YaHei UI"/>
                <w:sz w:val="24"/>
                <w:szCs w:val="24"/>
              </w:rPr>
            </w:pPr>
            <w:r>
              <w:rPr>
                <w:rFonts w:hint="default" w:ascii="Times New Roman" w:hAnsi="Times New Roman" w:eastAsia="Microsoft YaHei UI" w:cs="Times New Roman"/>
                <w:kern w:val="0"/>
                <w:sz w:val="28"/>
                <w:szCs w:val="28"/>
                <w:lang w:val="en-US" w:eastAsia="zh-CN" w:bidi="ar"/>
              </w:rPr>
              <w:t>1</w:t>
            </w:r>
            <w:r>
              <w:rPr>
                <w:rFonts w:hint="eastAsia" w:ascii="方正仿宋_GBK" w:hAnsi="方正仿宋_GBK" w:eastAsia="方正仿宋_GBK" w:cs="方正仿宋_GBK"/>
                <w:kern w:val="0"/>
                <w:sz w:val="28"/>
                <w:szCs w:val="28"/>
                <w:lang w:val="en-US" w:eastAsia="zh-CN" w:bidi="ar"/>
              </w:rPr>
              <w:t>年</w:t>
            </w:r>
          </w:p>
        </w:tc>
      </w:tr>
    </w:tbl>
    <w:p w14:paraId="562D8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jc w:val="left"/>
        <w:rPr>
          <w:rFonts w:hint="eastAsia" w:ascii="Microsoft YaHei UI" w:hAnsi="Microsoft YaHei UI" w:eastAsia="Microsoft YaHei UI" w:cs="Microsoft YaHei UI"/>
          <w:i w:val="0"/>
          <w:iCs w:val="0"/>
          <w:caps w:val="0"/>
          <w:color w:val="000000"/>
          <w:spacing w:val="0"/>
          <w:sz w:val="24"/>
          <w:szCs w:val="24"/>
        </w:rPr>
      </w:pPr>
      <w:r>
        <w:rPr>
          <w:rFonts w:hint="default" w:ascii="Times New Roman" w:hAnsi="Times New Roman" w:eastAsia="Microsoft YaHei UI" w:cs="Times New Roman"/>
          <w:i w:val="0"/>
          <w:iCs w:val="0"/>
          <w:caps w:val="0"/>
          <w:color w:val="000000"/>
          <w:spacing w:val="0"/>
          <w:kern w:val="0"/>
          <w:sz w:val="21"/>
          <w:szCs w:val="21"/>
          <w:lang w:val="en-US" w:eastAsia="zh-CN" w:bidi="ar"/>
        </w:rPr>
        <w:t> </w:t>
      </w:r>
    </w:p>
    <w:p w14:paraId="7E5848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23" w:lineRule="atLeast"/>
        <w:ind w:left="0" w:right="0" w:firstLine="0"/>
        <w:rPr>
          <w:rFonts w:hint="eastAsia" w:ascii="Microsoft YaHei UI" w:hAnsi="Microsoft YaHei UI" w:eastAsia="Microsoft YaHei UI" w:cs="Microsoft YaHei UI"/>
          <w:i w:val="0"/>
          <w:iCs w:val="0"/>
          <w:caps w:val="0"/>
          <w:color w:val="000000"/>
          <w:spacing w:val="0"/>
          <w:sz w:val="24"/>
          <w:szCs w:val="24"/>
        </w:rPr>
      </w:pPr>
      <w:r>
        <w:rPr>
          <w:rFonts w:hint="default" w:ascii="Times New Roman" w:hAnsi="Times New Roman" w:eastAsia="Microsoft YaHei UI" w:cs="Times New Roman"/>
          <w:i w:val="0"/>
          <w:iCs w:val="0"/>
          <w:caps w:val="0"/>
          <w:color w:val="000000"/>
          <w:spacing w:val="0"/>
          <w:sz w:val="21"/>
          <w:szCs w:val="21"/>
        </w:rPr>
        <w:t> </w:t>
      </w:r>
    </w:p>
    <w:p w14:paraId="0342A98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embedRegular r:id="rId1" w:fontKey="{2703BF0E-6112-4ABA-8B36-CC0A0B919869}"/>
  </w:font>
  <w:font w:name="方正小标宋_GBK">
    <w:panose1 w:val="02000000000000000000"/>
    <w:charset w:val="86"/>
    <w:family w:val="auto"/>
    <w:pitch w:val="default"/>
    <w:sig w:usb0="A00002BF" w:usb1="38CF7CFA" w:usb2="00082016" w:usb3="00000000" w:csb0="00040001" w:csb1="00000000"/>
    <w:embedRegular r:id="rId2" w:fontKey="{4D333AC2-CBF1-4BA9-B076-87D57C7E0530}"/>
  </w:font>
  <w:font w:name="Microsoft YaHei UI">
    <w:panose1 w:val="020B0503020204020204"/>
    <w:charset w:val="86"/>
    <w:family w:val="auto"/>
    <w:pitch w:val="default"/>
    <w:sig w:usb0="80000287" w:usb1="2ACF3C50" w:usb2="00000016" w:usb3="00000000" w:csb0="0004001F" w:csb1="00000000"/>
    <w:embedRegular r:id="rId3" w:fontKey="{5E7907F9-C4FE-49B1-8226-BB2138255FA3}"/>
  </w:font>
  <w:font w:name="方正仿宋_GBK">
    <w:panose1 w:val="02000000000000000000"/>
    <w:charset w:val="86"/>
    <w:family w:val="auto"/>
    <w:pitch w:val="default"/>
    <w:sig w:usb0="A00002BF" w:usb1="38CF7CFA" w:usb2="00082016" w:usb3="00000000" w:csb0="00040001" w:csb1="00000000"/>
    <w:embedRegular r:id="rId4" w:fontKey="{33661D90-A79F-4B7E-AF25-24701EAD78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C9002F"/>
    <w:rsid w:val="6E401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1204</Words>
  <Characters>1267</Characters>
  <Lines>0</Lines>
  <Paragraphs>0</Paragraphs>
  <TotalTime>9</TotalTime>
  <ScaleCrop>false</ScaleCrop>
  <LinksUpToDate>false</LinksUpToDate>
  <CharactersWithSpaces>1282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2026-08-21T02:59:00Z</dcterms:created>
  <dc:creator>Administrator</dc:creator>
  <cp:lastModifiedBy>张娟</cp:lastModifiedBy>
  <dcterms:modified xsi:type="dcterms:W3CDTF">2026-08-21T03:35:55Z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eyJoZGlkIjoiNWY2YjI5NmM4NjcyZTgwOGJhOGNiODM4NTg0ZjVhNTAiLCJ1c2VySWQiOiIxNjE2NzM1NzA0In0=</vt:lpwstr>
  </property>
  <property fmtid="{D5CDD505-2E9C-101B-9397-08002B2CF9AE}" pid="4" name="ICV">
    <vt:lpwstr>ADABF2FD47C04188BE05136A68E9BB60_12</vt:lpwstr>
  </property>
</Properties>
</file>