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10059"/>
      <w:bookmarkStart w:id="2" w:name="_Toc13868"/>
      <w:bookmarkStart w:id="3" w:name="_Toc31066"/>
      <w:bookmarkStart w:id="4" w:name="_Toc76373863"/>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- 7 -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- 9 -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- 9 -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- 9 -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- 9 -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- 9 -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- 10 -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- 12 -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- 15 -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- 16 -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- 18 -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- 22 -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bookmarkStart w:id="192" w:name="_GoBack"/>
      <w:bookmarkEnd w:id="192"/>
    </w:p>
    <w:p w14:paraId="2A17E467">
      <w:pPr>
        <w:widowControl/>
        <w:spacing w:line="400" w:lineRule="exact"/>
        <w:outlineLvl w:val="1"/>
        <w:rPr>
          <w:rFonts w:hint="eastAsia" w:ascii="宋体" w:hAnsi="宋体" w:cs="宋体"/>
          <w:color w:val="auto"/>
          <w:sz w:val="24"/>
          <w:szCs w:val="24"/>
        </w:rPr>
      </w:pPr>
      <w:bookmarkStart w:id="7" w:name="_Toc5909"/>
      <w:bookmarkStart w:id="8" w:name="_Toc15376"/>
      <w:bookmarkStart w:id="9" w:name="_Toc76373864"/>
      <w:bookmarkStart w:id="10" w:name="_Toc28264"/>
      <w:bookmarkStart w:id="11" w:name="_Toc22435"/>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4D681785">
      <w:pPr>
        <w:widowControl/>
        <w:spacing w:line="400" w:lineRule="exact"/>
        <w:ind w:firstLine="480" w:firstLineChars="200"/>
        <w:rPr>
          <w:rFonts w:hint="eastAsia" w:ascii="Segoe UI" w:hAnsi="Segoe UI" w:eastAsia="Segoe UI" w:cs="Segoe UI"/>
          <w:sz w:val="22"/>
          <w:szCs w:val="22"/>
          <w:lang w:val="en-US" w:eastAsia="zh-CN" w:bidi="ar-SA"/>
        </w:rPr>
      </w:pPr>
      <w:r>
        <w:rPr>
          <w:rFonts w:hint="eastAsia" w:ascii="宋体" w:hAnsi="宋体" w:cs="宋体"/>
          <w:color w:val="auto"/>
          <w:sz w:val="24"/>
          <w:szCs w:val="24"/>
        </w:rPr>
        <w:t>项目名称：丙型肝炎病毒核酸定量和基因分型检测试剂盒</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129"/>
            <w:bookmarkStart w:id="15" w:name="_Toc22707"/>
            <w:bookmarkStart w:id="16" w:name="_Toc5838"/>
            <w:bookmarkStart w:id="17" w:name="_Toc18060"/>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widowControl/>
              <w:spacing w:line="400" w:lineRule="exact"/>
              <w:jc w:val="center"/>
              <w:rPr>
                <w:rFonts w:hint="default" w:ascii="宋体" w:hAnsi="宋体" w:cs="宋体"/>
                <w:color w:val="auto"/>
                <w:sz w:val="24"/>
                <w:szCs w:val="24"/>
                <w:lang w:val="en-US" w:eastAsia="zh-CN"/>
              </w:rPr>
            </w:pPr>
            <w:r>
              <w:rPr>
                <w:rFonts w:hint="default" w:ascii="宋体" w:hAnsi="宋体" w:cs="宋体"/>
                <w:color w:val="auto"/>
                <w:sz w:val="24"/>
                <w:szCs w:val="24"/>
                <w:lang w:val="en-US" w:eastAsia="zh-CN"/>
              </w:rPr>
              <w:t>丙型肝炎病毒核酸定量和基因分型检测试剂盒</w:t>
            </w:r>
          </w:p>
        </w:tc>
        <w:tc>
          <w:tcPr>
            <w:tcW w:w="1485" w:type="dxa"/>
            <w:shd w:val="clear" w:color="auto" w:fill="auto"/>
            <w:noWrap w:val="0"/>
            <w:vAlign w:val="center"/>
          </w:tcPr>
          <w:p w14:paraId="4E89B39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按实结算</w:t>
            </w:r>
          </w:p>
        </w:tc>
        <w:tc>
          <w:tcPr>
            <w:tcW w:w="1594" w:type="dxa"/>
            <w:shd w:val="clear" w:color="auto" w:fill="auto"/>
            <w:noWrap w:val="0"/>
            <w:vAlign w:val="center"/>
          </w:tcPr>
          <w:p w14:paraId="171133CB">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w:t>
            </w:r>
          </w:p>
        </w:tc>
        <w:tc>
          <w:tcPr>
            <w:tcW w:w="1594" w:type="dxa"/>
            <w:shd w:val="clear" w:color="auto" w:fill="auto"/>
            <w:noWrap w:val="0"/>
            <w:vAlign w:val="center"/>
          </w:tcPr>
          <w:p w14:paraId="564BDA5D">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感染科实验室</w:t>
            </w:r>
          </w:p>
        </w:tc>
      </w:tr>
    </w:tbl>
    <w:p w14:paraId="3827FA9C">
      <w:pPr>
        <w:widowControl/>
        <w:spacing w:before="120" w:beforeLines="50"/>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注</w:t>
      </w:r>
      <w:r>
        <w:rPr>
          <w:rFonts w:hint="eastAsia" w:ascii="宋体" w:hAnsi="宋体" w:cs="宋体"/>
          <w:color w:val="auto"/>
          <w:sz w:val="24"/>
          <w:szCs w:val="24"/>
          <w:lang w:eastAsia="zh-CN"/>
        </w:rPr>
        <w:t>：</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三至五年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3434"/>
      <w:bookmarkStart w:id="20" w:name="_Toc26504"/>
      <w:bookmarkStart w:id="21" w:name="_Toc10137"/>
      <w:bookmarkStart w:id="22" w:name="_Toc30358"/>
      <w:bookmarkStart w:id="23" w:name="_Toc76373866"/>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感染科实验室</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感染科实验室</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感染科实验室</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感染科实验室</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14224"/>
      <w:bookmarkStart w:id="40" w:name="_Toc25272"/>
      <w:bookmarkStart w:id="41" w:name="_Toc9714"/>
      <w:bookmarkStart w:id="42" w:name="_Toc4033"/>
      <w:bookmarkStart w:id="43" w:name="_Toc763738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2599"/>
      <w:bookmarkStart w:id="48" w:name="_Toc13391"/>
      <w:bookmarkStart w:id="49" w:name="_Toc3153"/>
      <w:bookmarkStart w:id="50" w:name="_Toc76373874"/>
      <w:bookmarkStart w:id="51" w:name="_Toc11474"/>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29620"/>
      <w:bookmarkStart w:id="55" w:name="_Toc6355"/>
      <w:bookmarkStart w:id="56" w:name="_Toc30465"/>
      <w:bookmarkStart w:id="57" w:name="_Toc76373876"/>
      <w:bookmarkStart w:id="58" w:name="_Toc29225"/>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5677FD9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1.用于定量检测人血清样本中的丙型肝炎病毒（HCV）RNA,并至少对1型和2/3型HCV进行基因分型。</w:t>
      </w:r>
    </w:p>
    <w:p w14:paraId="63053C1B">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2.对于定量和基因分型试剂，可由一个或多个试剂盒组成。</w:t>
      </w:r>
    </w:p>
    <w:p w14:paraId="5E33544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3.定量试剂参数：</w:t>
      </w:r>
    </w:p>
    <w:p w14:paraId="48E5E255">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①方法学：PCR荧光探针法。</w:t>
      </w:r>
    </w:p>
    <w:p w14:paraId="6E0B5CDC">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②最低检出限：≤15 IU/mL。</w:t>
      </w:r>
    </w:p>
    <w:p w14:paraId="58B90D27">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③线性范围：20 IU/mL-1×108 IU/mL。</w:t>
      </w:r>
    </w:p>
    <w:p w14:paraId="27DE6E8F">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④精密度：变异系数（CV)≤5%。</w:t>
      </w:r>
    </w:p>
    <w:p w14:paraId="7DFBFAD2">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⑤基因型覆盖：可检出基因型1型、2型、3型、4型、5型和6型。</w:t>
      </w:r>
    </w:p>
    <w:p w14:paraId="5CD52465">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⑥防污染体系：使用UNG酶和dUTP防污染体系。</w:t>
      </w:r>
    </w:p>
    <w:p w14:paraId="6543D9E7">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⑦内参：有内参可以监控和避免“假阴性”结果。</w:t>
      </w:r>
    </w:p>
    <w:p w14:paraId="370F3F5E">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4.基因分型试剂参数：</w:t>
      </w:r>
    </w:p>
    <w:p w14:paraId="2D3951CD">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①基因分型检测：至少可鉴别常见的1型和2/3型HCV。</w:t>
      </w:r>
    </w:p>
    <w:p w14:paraId="139A7F1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②最低检出限：≤1000 IU/mL。</w:t>
      </w:r>
    </w:p>
    <w:p w14:paraId="081EA716">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5.核酸提取试剂适配提取仪：适配院内现有设备，若提取试剂与目前院内的核酸提取仪不匹配，需要提供相应的配套核酸提取仪。</w:t>
      </w:r>
    </w:p>
    <w:p w14:paraId="32EC3B8F">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6.适用仪器：常规全自动医用PCR分析系统。</w:t>
      </w:r>
    </w:p>
    <w:p w14:paraId="4584CA98">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7.有效期：至少12个月。</w:t>
      </w:r>
    </w:p>
    <w:p w14:paraId="7FDA4C61">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8.包装规格： 提供大小不同规格供选择。</w:t>
      </w:r>
    </w:p>
    <w:p w14:paraId="530B7499">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default" w:ascii="Segoe UI" w:hAnsi="Segoe UI" w:eastAsia="Segoe UI" w:cs="Segoe UI"/>
          <w:sz w:val="22"/>
          <w:szCs w:val="22"/>
          <w:lang w:val="en-US" w:eastAsia="zh-CN" w:bidi="ar-SA"/>
        </w:rPr>
        <w:t>9.生产企业通过ISO13485质量管理体系认证。</w:t>
      </w:r>
    </w:p>
    <w:p w14:paraId="00C7030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4791"/>
      <w:bookmarkStart w:id="63" w:name="_Toc31843"/>
      <w:bookmarkStart w:id="64" w:name="_Toc1768"/>
      <w:bookmarkStart w:id="65" w:name="_Toc76373878"/>
      <w:bookmarkStart w:id="66" w:name="_Toc15650"/>
      <w:bookmarkStart w:id="67" w:name="_Toc17944"/>
      <w:bookmarkStart w:id="68" w:name="_Toc24122"/>
      <w:bookmarkStart w:id="69" w:name="_Toc17524"/>
      <w:bookmarkStart w:id="70" w:name="_Toc7794"/>
      <w:bookmarkStart w:id="71" w:name="_Toc2072"/>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22561"/>
      <w:bookmarkStart w:id="74" w:name="_Toc29836"/>
      <w:bookmarkStart w:id="75" w:name="_Toc30551"/>
      <w:bookmarkStart w:id="76" w:name="_Toc9339"/>
      <w:bookmarkStart w:id="77" w:name="_Toc5959"/>
      <w:bookmarkStart w:id="78" w:name="_Toc76373879"/>
      <w:bookmarkStart w:id="79" w:name="_Toc14311"/>
      <w:bookmarkStart w:id="80" w:name="_Toc28942"/>
      <w:bookmarkStart w:id="81" w:name="_Toc13528"/>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7737"/>
      <w:bookmarkStart w:id="84" w:name="_Toc12384"/>
      <w:bookmarkStart w:id="85" w:name="_Toc20263"/>
      <w:bookmarkStart w:id="86" w:name="_Toc27893"/>
      <w:bookmarkStart w:id="87" w:name="_Toc20772"/>
      <w:bookmarkStart w:id="88" w:name="_Toc76373885"/>
      <w:bookmarkStart w:id="89" w:name="_Toc2258"/>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7115"/>
      <w:bookmarkStart w:id="91" w:name="_Toc76373886"/>
      <w:bookmarkStart w:id="92" w:name="_Toc12712"/>
      <w:bookmarkStart w:id="93" w:name="_Toc23699"/>
      <w:bookmarkStart w:id="94" w:name="_Toc11052"/>
      <w:bookmarkStart w:id="95" w:name="_Toc2818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9147"/>
      <w:bookmarkStart w:id="98" w:name="_Toc26754"/>
      <w:bookmarkStart w:id="99" w:name="_Toc76373887"/>
      <w:bookmarkStart w:id="100" w:name="_Toc19809"/>
      <w:bookmarkStart w:id="101" w:name="_Toc13585"/>
      <w:bookmarkStart w:id="102" w:name="_Toc5535"/>
      <w:bookmarkStart w:id="103"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76373889"/>
      <w:bookmarkStart w:id="106" w:name="_Toc30068"/>
      <w:bookmarkStart w:id="107" w:name="_Toc2900"/>
      <w:bookmarkStart w:id="108" w:name="_Toc8546"/>
      <w:bookmarkStart w:id="109" w:name="_Toc5251"/>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26071"/>
      <w:bookmarkStart w:id="113" w:name="_Toc27443"/>
      <w:bookmarkStart w:id="114" w:name="_Toc11654"/>
      <w:bookmarkStart w:id="115" w:name="_Toc11342"/>
      <w:bookmarkStart w:id="116" w:name="_Toc20034"/>
      <w:bookmarkStart w:id="117" w:name="_Toc76373890"/>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20391"/>
      <w:bookmarkStart w:id="120" w:name="_Toc76373891"/>
      <w:bookmarkStart w:id="121" w:name="_Toc27646"/>
      <w:bookmarkStart w:id="122" w:name="_Toc25199"/>
      <w:bookmarkStart w:id="123" w:name="_Toc10864"/>
      <w:r>
        <w:rPr>
          <w:rFonts w:hint="eastAsia" w:ascii="宋体" w:hAnsi="宋体" w:cs="宋体"/>
          <w:b/>
          <w:color w:val="auto"/>
          <w:szCs w:val="36"/>
        </w:rPr>
        <w:t xml:space="preserve">第四篇  </w:t>
      </w:r>
      <w:bookmarkStart w:id="124" w:name="_Toc349642178"/>
      <w:bookmarkStart w:id="125" w:name="_Toc258354120"/>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0762"/>
      <w:bookmarkStart w:id="132" w:name="_Toc10152"/>
      <w:bookmarkStart w:id="133" w:name="_Toc19409"/>
      <w:bookmarkStart w:id="134" w:name="_Toc76373904"/>
      <w:bookmarkStart w:id="135" w:name="_Toc24088"/>
      <w:bookmarkStart w:id="136" w:name="_Toc2975"/>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76373907"/>
      <w:bookmarkStart w:id="139" w:name="_Toc11763"/>
      <w:bookmarkStart w:id="140" w:name="_Toc11892"/>
      <w:bookmarkStart w:id="141" w:name="_Toc16112"/>
      <w:bookmarkStart w:id="142" w:name="_Toc12863"/>
      <w:bookmarkStart w:id="143" w:name="_Toc7750"/>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3094"/>
      <w:bookmarkStart w:id="152" w:name="_Toc22827"/>
      <w:bookmarkStart w:id="153"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_Toc15483"/>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27306"/>
      <w:bookmarkStart w:id="165" w:name="_Toc493178790"/>
      <w:bookmarkStart w:id="166" w:name="_Toc21830"/>
      <w:bookmarkStart w:id="167" w:name="_Toc21431"/>
      <w:bookmarkStart w:id="168" w:name="_Toc76373909"/>
      <w:bookmarkStart w:id="169" w:name="_Toc9795"/>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411"/>
      <w:bookmarkStart w:id="175" w:name="_Toc16487"/>
      <w:bookmarkStart w:id="176" w:name="_Toc20875"/>
      <w:bookmarkStart w:id="177" w:name="_Toc12647"/>
      <w:bookmarkStart w:id="178" w:name="_Toc493178791"/>
      <w:bookmarkStart w:id="179" w:name="_Toc76373910"/>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20605"/>
      <w:bookmarkStart w:id="183" w:name="_Toc6217"/>
      <w:bookmarkStart w:id="184" w:name="_Toc492721038"/>
      <w:bookmarkStart w:id="185" w:name="_Toc76373912"/>
      <w:bookmarkStart w:id="186" w:name="_Toc4250"/>
      <w:bookmarkStart w:id="187" w:name="_Toc493178793"/>
      <w:bookmarkStart w:id="188" w:name="_Toc8925"/>
      <w:bookmarkStart w:id="189" w:name="_Toc19291"/>
      <w:bookmarkStart w:id="190" w:name="_Toc1615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70B513D-DC04-4B1B-9C1B-6CB373CA9194}"/>
  </w:font>
  <w:font w:name="黑体">
    <w:panose1 w:val="02010609060101010101"/>
    <w:charset w:val="86"/>
    <w:family w:val="auto"/>
    <w:pitch w:val="default"/>
    <w:sig w:usb0="800002BF" w:usb1="38CF7CFA" w:usb2="00000016" w:usb3="00000000" w:csb0="00040001" w:csb1="00000000"/>
    <w:embedRegular r:id="rId2" w:fontKey="{D88AF656-F717-44A6-A667-DA020CC516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26531913-D17D-445E-97E0-3C0A372D446A}"/>
  </w:font>
  <w:font w:name="Arial Unicode MS">
    <w:panose1 w:val="020B0604020202020204"/>
    <w:charset w:val="86"/>
    <w:family w:val="roman"/>
    <w:pitch w:val="default"/>
    <w:sig w:usb0="FFFFFFFF" w:usb1="E9FFFFFF" w:usb2="0000003F" w:usb3="00000000" w:csb0="603F01FF" w:csb1="FFFF0000"/>
    <w:embedRegular r:id="rId4" w:fontKey="{B9D54D84-1754-4779-8090-4A233450BB2B}"/>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059588D0-BCAB-4375-B165-4C8E4850EB9C}"/>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4C9E0FDC-349A-4055-848C-AE382FB2F44E}"/>
  </w:font>
  <w:font w:name="方正黑体_GBK">
    <w:panose1 w:val="03000509000000000000"/>
    <w:charset w:val="86"/>
    <w:family w:val="script"/>
    <w:pitch w:val="default"/>
    <w:sig w:usb0="00000001" w:usb1="080E0000" w:usb2="00000000" w:usb3="00000000" w:csb0="00040000" w:csb1="00000000"/>
    <w:embedRegular r:id="rId7" w:fontKey="{837C8B16-0DBC-4DBB-A919-149662FD3356}"/>
  </w:font>
  <w:font w:name="方正小标宋_GBK">
    <w:panose1 w:val="02000000000000000000"/>
    <w:charset w:val="86"/>
    <w:family w:val="script"/>
    <w:pitch w:val="default"/>
    <w:sig w:usb0="A00002BF" w:usb1="38CF7CFA" w:usb2="00082016" w:usb3="00000000" w:csb0="00040001" w:csb1="00000000"/>
    <w:embedRegular r:id="rId8" w:fontKey="{367AA80B-5716-4E29-8603-2B8882FBA1FF}"/>
  </w:font>
  <w:font w:name="Segoe UI">
    <w:panose1 w:val="020B0502040204020203"/>
    <w:charset w:val="00"/>
    <w:family w:val="auto"/>
    <w:pitch w:val="default"/>
    <w:sig w:usb0="E4002EFF" w:usb1="C000E47F" w:usb2="00000009" w:usb3="00000000" w:csb0="200001FF" w:csb1="00000000"/>
    <w:embedRegular r:id="rId9" w:fontKey="{F5A2854F-8C5B-4CD4-A736-7D269039942B}"/>
  </w:font>
  <w:font w:name="微软雅黑">
    <w:panose1 w:val="020B0503020204020204"/>
    <w:charset w:val="86"/>
    <w:family w:val="swiss"/>
    <w:pitch w:val="default"/>
    <w:sig w:usb0="80000287" w:usb1="2ACF3C50" w:usb2="00000016" w:usb3="00000000" w:csb0="0004001F" w:csb1="00000000"/>
    <w:embedRegular r:id="rId10" w:fontKey="{821BE868-A503-470F-8196-A4E2D9C49AD6}"/>
  </w:font>
  <w:font w:name="仿宋">
    <w:panose1 w:val="02010609060101010101"/>
    <w:charset w:val="86"/>
    <w:family w:val="modern"/>
    <w:pitch w:val="default"/>
    <w:sig w:usb0="800002BF" w:usb1="38CF7CFA" w:usb2="00000016" w:usb3="00000000" w:csb0="00040001" w:csb1="00000000"/>
    <w:embedRegular r:id="rId11" w:fontKey="{F9E03762-9BAA-47A4-87FC-CC31C7253E2A}"/>
  </w:font>
  <w:font w:name="WPSEMBED25">
    <w:panose1 w:val="02000000000000000000"/>
    <w:charset w:val="86"/>
    <w:family w:val="auto"/>
    <w:pitch w:val="default"/>
    <w:sig w:usb0="A00002BF" w:usb1="38CF7CFA" w:usb2="00082016" w:usb3="00000000" w:csb0="00040001" w:csb1="00000000"/>
  </w:font>
  <w:font w:name="WPSEMBED26">
    <w:panose1 w:val="03000509000000000000"/>
    <w:charset w:val="86"/>
    <w:family w:val="auto"/>
    <w:pitch w:val="default"/>
    <w:sig w:usb0="00000001" w:usb1="080E0000" w:usb2="00000000" w:usb3="00000000" w:csb0="00040000" w:csb1="00000000"/>
  </w:font>
  <w:font w:name="WPSEMBED23">
    <w:panose1 w:val="02010609030101010101"/>
    <w:charset w:val="86"/>
    <w:family w:val="auto"/>
    <w:pitch w:val="default"/>
    <w:sig w:usb0="00000001" w:usb1="080E0000" w:usb2="00000000" w:usb3="00000000" w:csb0="00040000" w:csb1="00000000"/>
  </w:font>
  <w:font w:name="WPSEMBED27">
    <w:panose1 w:val="02000000000000000000"/>
    <w:charset w:val="86"/>
    <w:family w:val="auto"/>
    <w:pitch w:val="default"/>
    <w:sig w:usb0="A00002BF" w:usb1="38CF7CFA" w:usb2="00082016" w:usb3="00000000" w:csb0="00040001" w:csb1="00000000"/>
  </w:font>
  <w:font w:name="WPSEMBED24">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55120"/>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6435D5"/>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1683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0E5B"/>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01D09"/>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basedOn w:val="61"/>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5618</Words>
  <Characters>5779</Characters>
  <Lines>101</Lines>
  <Paragraphs>28</Paragraphs>
  <TotalTime>0</TotalTime>
  <ScaleCrop>false</ScaleCrop>
  <LinksUpToDate>false</LinksUpToDate>
  <CharactersWithSpaces>6217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2026-09-10T07:05:57Z</cp:lastPrinted>
  <dcterms:modified xsi:type="dcterms:W3CDTF">2026-09-10T07:07:24Z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