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8DAFF">
      <w:pPr>
        <w:widowControl/>
        <w:spacing w:before="100" w:beforeAutospacing="1" w:after="100" w:afterAutospacing="1" w:line="360" w:lineRule="auto"/>
        <w:jc w:val="center"/>
        <w:outlineLvl w:val="0"/>
        <w:rPr>
          <w:rFonts w:ascii="宋体" w:hAnsi="宋体" w:eastAsia="宋体" w:cs="宋体"/>
          <w:b/>
          <w:bCs/>
          <w:kern w:val="3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36"/>
          <w:sz w:val="36"/>
          <w:szCs w:val="36"/>
          <w:lang w:val="en-US" w:eastAsia="zh-CN"/>
        </w:rPr>
        <w:t>重庆市</w:t>
      </w:r>
      <w:r>
        <w:rPr>
          <w:rFonts w:ascii="宋体" w:hAnsi="宋体" w:eastAsia="宋体" w:cs="宋体"/>
          <w:b/>
          <w:bCs/>
          <w:kern w:val="36"/>
          <w:sz w:val="36"/>
          <w:szCs w:val="36"/>
        </w:rPr>
        <w:t>双向转诊平台卫健云服务租用推介会需求</w:t>
      </w:r>
    </w:p>
    <w:p w14:paraId="5531386E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一、基本情况</w:t>
      </w:r>
    </w:p>
    <w:p w14:paraId="4F04161C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（一）项目名称</w:t>
      </w:r>
    </w:p>
    <w:p w14:paraId="27354DB9">
      <w:pPr>
        <w:widowControl/>
        <w:spacing w:before="100" w:beforeAutospacing="1" w:after="100" w:afterAutospacing="1" w:line="360" w:lineRule="auto"/>
        <w:ind w:firstLine="480" w:firstLineChars="200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hint="eastAsia" w:ascii="宋体" w:hAnsi="宋体" w:eastAsia="宋体" w:cs="宋体"/>
          <w:strike w:val="0"/>
          <w:dstrike w:val="0"/>
          <w:color w:val="auto"/>
          <w:kern w:val="0"/>
          <w:sz w:val="24"/>
          <w:szCs w:val="24"/>
          <w:highlight w:val="none"/>
          <w:lang w:val="en-US" w:eastAsia="zh-CN"/>
        </w:rPr>
        <w:t>重庆市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双</w:t>
      </w:r>
      <w:r>
        <w:rPr>
          <w:rFonts w:ascii="宋体" w:hAnsi="宋体" w:eastAsia="宋体" w:cs="宋体"/>
          <w:kern w:val="0"/>
          <w:sz w:val="24"/>
          <w:szCs w:val="24"/>
        </w:rPr>
        <w:t>向转诊平台卫健云服务租用</w:t>
      </w:r>
    </w:p>
    <w:p w14:paraId="22FCC99A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（二）项目需求</w:t>
      </w:r>
    </w:p>
    <w:p w14:paraId="2F3E3528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卫健云独立服务器资源租用</w:t>
      </w:r>
    </w:p>
    <w:p w14:paraId="2BEB9381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互联网、卫健专网出口带宽租用</w:t>
      </w:r>
    </w:p>
    <w:p w14:paraId="27931D11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云安全服务</w:t>
      </w:r>
    </w:p>
    <w:p w14:paraId="1B445428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三级等保服务（包含定级、评审、备案、测评）</w:t>
      </w:r>
    </w:p>
    <w:p w14:paraId="0190DB72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备份服务</w:t>
      </w:r>
    </w:p>
    <w:p w14:paraId="1DB9BB4A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运维服务</w:t>
      </w:r>
    </w:p>
    <w:p w14:paraId="1D40E2BD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二、资格要求</w:t>
      </w:r>
    </w:p>
    <w:p w14:paraId="6215D5B8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（一）基本资格条件</w:t>
      </w:r>
    </w:p>
    <w:p w14:paraId="01BCC191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具有独立承担民事责任的能力。</w:t>
      </w:r>
    </w:p>
    <w:p w14:paraId="1C493FAD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具有良好的商业信誉和健全的财务会计制度。</w:t>
      </w:r>
    </w:p>
    <w:p w14:paraId="71712DB3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具有履行合同所必需的设备和专业技术能力。</w:t>
      </w:r>
    </w:p>
    <w:p w14:paraId="676F6CAA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有依法缴纳税收和社会保障资金的良好记录。</w:t>
      </w:r>
    </w:p>
    <w:p w14:paraId="7B583763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参加政府采购活动前三年内，在经营活动中没有重大违法记录。</w:t>
      </w:r>
    </w:p>
    <w:p w14:paraId="6E73123B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法律、行政法规规定的其他条件。</w:t>
      </w:r>
    </w:p>
    <w:p w14:paraId="4A813FE7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（二）特定资格条件</w:t>
      </w:r>
    </w:p>
    <w:p w14:paraId="324F088F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无</w:t>
      </w:r>
    </w:p>
    <w:p w14:paraId="76562B54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三、详细需求</w:t>
      </w:r>
    </w:p>
    <w:p w14:paraId="159769E2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  <w:t>重庆市双向转诊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平台</w:t>
      </w:r>
      <w:r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  <w:t>服</w:t>
      </w:r>
      <w:r>
        <w:rPr>
          <w:rFonts w:ascii="宋体" w:hAnsi="宋体" w:eastAsia="宋体" w:cs="宋体"/>
          <w:kern w:val="0"/>
          <w:sz w:val="24"/>
          <w:szCs w:val="24"/>
        </w:rPr>
        <w:t>务整体需部署于卫健云环境。下级医疗机构可通过卫生专网访问业务系统；若需接口对接，下级医疗机构可按照</w:t>
      </w:r>
      <w:r>
        <w:rPr>
          <w:rFonts w:hint="eastAsia" w:ascii="宋体" w:hAnsi="宋体" w:eastAsia="宋体" w:cs="宋体"/>
          <w:strike w:val="0"/>
          <w:dstrike w:val="0"/>
          <w:color w:val="auto"/>
          <w:kern w:val="0"/>
          <w:sz w:val="24"/>
          <w:szCs w:val="24"/>
          <w:highlight w:val="none"/>
          <w:lang w:val="en-US" w:eastAsia="zh-CN"/>
        </w:rPr>
        <w:t>重庆市</w:t>
      </w:r>
      <w:r>
        <w:rPr>
          <w:rFonts w:ascii="宋体" w:hAnsi="宋体" w:eastAsia="宋体" w:cs="宋体"/>
          <w:kern w:val="0"/>
          <w:sz w:val="24"/>
          <w:szCs w:val="24"/>
        </w:rPr>
        <w:t>双向转诊平台对外发布的标准接口规范开展接口开发对接。卫健云环境需同时提供内网、互联网两种访问模式。</w:t>
      </w:r>
    </w:p>
    <w:p w14:paraId="44A76B99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卫健云环境应具备满足网络安全等级保护三级要求的安全服务能力、运维管理能力以及备份恢复能力，抵御各类网络安全攻击，发生异常故障场景下可实现业务与数据恢复。</w:t>
      </w:r>
    </w:p>
    <w:p w14:paraId="22D1F01B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5E68CAE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（一）卫健云独立服务器资源租用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8"/>
        <w:gridCol w:w="1382"/>
        <w:gridCol w:w="1763"/>
        <w:gridCol w:w="1567"/>
        <w:gridCol w:w="1717"/>
        <w:gridCol w:w="999"/>
      </w:tblGrid>
      <w:tr w14:paraId="4263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943" w:type="dxa"/>
            <w:vAlign w:val="center"/>
          </w:tcPr>
          <w:p w14:paraId="758F7CA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服务器名称</w:t>
            </w:r>
          </w:p>
        </w:tc>
        <w:tc>
          <w:tcPr>
            <w:tcW w:w="1352" w:type="dxa"/>
            <w:vAlign w:val="center"/>
          </w:tcPr>
          <w:p w14:paraId="6BCA1E7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网络要求</w:t>
            </w:r>
          </w:p>
        </w:tc>
        <w:tc>
          <w:tcPr>
            <w:tcW w:w="0" w:type="auto"/>
            <w:vAlign w:val="center"/>
          </w:tcPr>
          <w:p w14:paraId="7178D57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服务器配置</w:t>
            </w:r>
          </w:p>
        </w:tc>
        <w:tc>
          <w:tcPr>
            <w:tcW w:w="0" w:type="auto"/>
            <w:vAlign w:val="center"/>
          </w:tcPr>
          <w:p w14:paraId="3028C32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操作系统</w:t>
            </w:r>
          </w:p>
        </w:tc>
        <w:tc>
          <w:tcPr>
            <w:tcW w:w="0" w:type="auto"/>
            <w:vAlign w:val="center"/>
          </w:tcPr>
          <w:p w14:paraId="4BE04D7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部署用途 / 部署明细</w:t>
            </w:r>
          </w:p>
        </w:tc>
        <w:tc>
          <w:tcPr>
            <w:tcW w:w="0" w:type="auto"/>
            <w:vAlign w:val="center"/>
          </w:tcPr>
          <w:p w14:paraId="49742B0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数量（台）</w:t>
            </w:r>
          </w:p>
        </w:tc>
      </w:tr>
      <w:tr w14:paraId="0BFE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3" w:type="dxa"/>
            <w:vAlign w:val="center"/>
          </w:tcPr>
          <w:p w14:paraId="241A2B0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入口服务器</w:t>
            </w:r>
          </w:p>
        </w:tc>
        <w:tc>
          <w:tcPr>
            <w:tcW w:w="1352" w:type="dxa"/>
            <w:vAlign w:val="center"/>
          </w:tcPr>
          <w:p w14:paraId="5490941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卫健云，支持内网、互联网访问</w:t>
            </w:r>
          </w:p>
        </w:tc>
        <w:tc>
          <w:tcPr>
            <w:tcW w:w="0" w:type="auto"/>
            <w:vAlign w:val="center"/>
          </w:tcPr>
          <w:p w14:paraId="3C51D23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CPU 8 核，内存 16G，硬盘 300G</w:t>
            </w:r>
          </w:p>
        </w:tc>
        <w:tc>
          <w:tcPr>
            <w:tcW w:w="0" w:type="auto"/>
            <w:vAlign w:val="center"/>
          </w:tcPr>
          <w:p w14:paraId="78349FC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Ubuntu 18.04 及以上版本</w:t>
            </w:r>
          </w:p>
        </w:tc>
        <w:tc>
          <w:tcPr>
            <w:tcW w:w="0" w:type="auto"/>
            <w:vAlign w:val="center"/>
          </w:tcPr>
          <w:p w14:paraId="653F1C9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网络入口，主节点 + 备用节点</w:t>
            </w:r>
          </w:p>
        </w:tc>
        <w:tc>
          <w:tcPr>
            <w:tcW w:w="0" w:type="auto"/>
            <w:vAlign w:val="center"/>
          </w:tcPr>
          <w:p w14:paraId="55FEDCB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</w:tr>
      <w:tr w14:paraId="7ECF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3" w:type="dxa"/>
            <w:vAlign w:val="center"/>
          </w:tcPr>
          <w:p w14:paraId="2C16FB3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数据库服务器</w:t>
            </w:r>
          </w:p>
        </w:tc>
        <w:tc>
          <w:tcPr>
            <w:tcW w:w="1352" w:type="dxa"/>
            <w:vAlign w:val="center"/>
          </w:tcPr>
          <w:p w14:paraId="405DEFC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卫健云</w:t>
            </w:r>
          </w:p>
        </w:tc>
        <w:tc>
          <w:tcPr>
            <w:tcW w:w="0" w:type="auto"/>
            <w:vAlign w:val="center"/>
          </w:tcPr>
          <w:p w14:paraId="59AF297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CPU 8 核，内存 32G，硬盘 500G</w:t>
            </w:r>
          </w:p>
        </w:tc>
        <w:tc>
          <w:tcPr>
            <w:tcW w:w="0" w:type="auto"/>
            <w:vAlign w:val="center"/>
          </w:tcPr>
          <w:p w14:paraId="6CF5740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Ubuntu 18.04 及以上版本</w:t>
            </w:r>
          </w:p>
        </w:tc>
        <w:tc>
          <w:tcPr>
            <w:tcW w:w="0" w:type="auto"/>
            <w:vAlign w:val="center"/>
          </w:tcPr>
          <w:p w14:paraId="23662FF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MySQL 主从数据库</w:t>
            </w:r>
          </w:p>
        </w:tc>
        <w:tc>
          <w:tcPr>
            <w:tcW w:w="0" w:type="auto"/>
            <w:vAlign w:val="center"/>
          </w:tcPr>
          <w:p w14:paraId="40AD2D2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</w:tr>
      <w:tr w14:paraId="2EF79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3" w:type="dxa"/>
            <w:vAlign w:val="center"/>
          </w:tcPr>
          <w:p w14:paraId="4C04FC0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中间件服务器</w:t>
            </w:r>
          </w:p>
        </w:tc>
        <w:tc>
          <w:tcPr>
            <w:tcW w:w="1352" w:type="dxa"/>
            <w:vAlign w:val="center"/>
          </w:tcPr>
          <w:p w14:paraId="55B0398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卫健云</w:t>
            </w:r>
          </w:p>
        </w:tc>
        <w:tc>
          <w:tcPr>
            <w:tcW w:w="0" w:type="auto"/>
            <w:vAlign w:val="center"/>
          </w:tcPr>
          <w:p w14:paraId="2718703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CPU 8 核，内存 16G，硬盘 300G</w:t>
            </w:r>
          </w:p>
        </w:tc>
        <w:tc>
          <w:tcPr>
            <w:tcW w:w="0" w:type="auto"/>
            <w:vAlign w:val="center"/>
          </w:tcPr>
          <w:p w14:paraId="3099B0D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Ubuntu 18.04 及以上版本</w:t>
            </w:r>
          </w:p>
        </w:tc>
        <w:tc>
          <w:tcPr>
            <w:tcW w:w="0" w:type="auto"/>
            <w:vAlign w:val="center"/>
          </w:tcPr>
          <w:p w14:paraId="76F78CF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缓存中间件、配置管理中间件等</w:t>
            </w:r>
          </w:p>
        </w:tc>
        <w:tc>
          <w:tcPr>
            <w:tcW w:w="0" w:type="auto"/>
            <w:vAlign w:val="center"/>
          </w:tcPr>
          <w:p w14:paraId="2A58AA8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</w:tr>
      <w:tr w14:paraId="04D3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3" w:type="dxa"/>
            <w:vAlign w:val="center"/>
          </w:tcPr>
          <w:p w14:paraId="18DEB29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应用服务器</w:t>
            </w:r>
          </w:p>
        </w:tc>
        <w:tc>
          <w:tcPr>
            <w:tcW w:w="1352" w:type="dxa"/>
            <w:vAlign w:val="center"/>
          </w:tcPr>
          <w:p w14:paraId="304913D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卫健云</w:t>
            </w:r>
          </w:p>
        </w:tc>
        <w:tc>
          <w:tcPr>
            <w:tcW w:w="0" w:type="auto"/>
            <w:vAlign w:val="center"/>
          </w:tcPr>
          <w:p w14:paraId="5BE4278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CPU 8 核，内存 32G，硬盘 500G</w:t>
            </w:r>
          </w:p>
        </w:tc>
        <w:tc>
          <w:tcPr>
            <w:tcW w:w="0" w:type="auto"/>
            <w:vAlign w:val="center"/>
          </w:tcPr>
          <w:p w14:paraId="5FAFE07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Ubuntu 18.04 及以上版本</w:t>
            </w:r>
          </w:p>
        </w:tc>
        <w:tc>
          <w:tcPr>
            <w:tcW w:w="0" w:type="auto"/>
            <w:vAlign w:val="center"/>
          </w:tcPr>
          <w:p w14:paraId="342A220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应用服务部署</w:t>
            </w:r>
          </w:p>
        </w:tc>
        <w:tc>
          <w:tcPr>
            <w:tcW w:w="0" w:type="auto"/>
            <w:vAlign w:val="center"/>
          </w:tcPr>
          <w:p w14:paraId="0F9DB14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</w:tr>
      <w:tr w14:paraId="65BE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3" w:type="dxa"/>
            <w:vAlign w:val="center"/>
          </w:tcPr>
          <w:p w14:paraId="36ADBFB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测试服务器</w:t>
            </w:r>
          </w:p>
        </w:tc>
        <w:tc>
          <w:tcPr>
            <w:tcW w:w="1352" w:type="dxa"/>
            <w:vAlign w:val="center"/>
          </w:tcPr>
          <w:p w14:paraId="532C5EB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卫健云</w:t>
            </w:r>
          </w:p>
        </w:tc>
        <w:tc>
          <w:tcPr>
            <w:tcW w:w="0" w:type="auto"/>
            <w:vAlign w:val="center"/>
          </w:tcPr>
          <w:p w14:paraId="7B9485E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CPU 8 核，内存 32G，硬盘 300G</w:t>
            </w:r>
          </w:p>
        </w:tc>
        <w:tc>
          <w:tcPr>
            <w:tcW w:w="0" w:type="auto"/>
            <w:vAlign w:val="center"/>
          </w:tcPr>
          <w:p w14:paraId="3B87FA9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Ubuntu 18.04 及以上版本</w:t>
            </w:r>
          </w:p>
        </w:tc>
        <w:tc>
          <w:tcPr>
            <w:tcW w:w="0" w:type="auto"/>
            <w:vAlign w:val="center"/>
          </w:tcPr>
          <w:p w14:paraId="5870EEC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测试环境、预发环境验证</w:t>
            </w:r>
          </w:p>
        </w:tc>
        <w:tc>
          <w:tcPr>
            <w:tcW w:w="0" w:type="auto"/>
            <w:vAlign w:val="center"/>
          </w:tcPr>
          <w:p w14:paraId="697CA01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</w:tr>
    </w:tbl>
    <w:p w14:paraId="6CAAB16D"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4"/>
        <w:gridCol w:w="992"/>
        <w:gridCol w:w="6600"/>
      </w:tblGrid>
      <w:tr w14:paraId="575D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659" w:type="dxa"/>
            <w:vAlign w:val="center"/>
          </w:tcPr>
          <w:p w14:paraId="6885B91C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62" w:type="dxa"/>
            <w:vAlign w:val="center"/>
          </w:tcPr>
          <w:p w14:paraId="7C6CB12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6555" w:type="dxa"/>
            <w:vAlign w:val="center"/>
          </w:tcPr>
          <w:p w14:paraId="7A41624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54E0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0FA2ABA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962" w:type="dxa"/>
            <w:vAlign w:val="center"/>
          </w:tcPr>
          <w:p w14:paraId="2F26D6B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国产化兼容支持</w:t>
            </w:r>
          </w:p>
        </w:tc>
        <w:tc>
          <w:tcPr>
            <w:tcW w:w="6555" w:type="dxa"/>
            <w:vAlign w:val="center"/>
          </w:tcPr>
          <w:p w14:paraId="64FACF7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支持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海光等主流国产架构云主机，可基于国产硬件架构部署运行</w:t>
            </w:r>
          </w:p>
        </w:tc>
      </w:tr>
      <w:tr w14:paraId="2558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5D77FC3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962" w:type="dxa"/>
            <w:vAlign w:val="center"/>
          </w:tcPr>
          <w:p w14:paraId="100E3E7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生命周期管理</w:t>
            </w:r>
          </w:p>
        </w:tc>
        <w:tc>
          <w:tcPr>
            <w:tcW w:w="6555" w:type="dxa"/>
            <w:vAlign w:val="center"/>
          </w:tcPr>
          <w:p w14:paraId="3A6E88E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支持云主机全生命周期管理，包含：创建、启动、停止、重启、释放（删除）；支持强制停止、强制重启，支持停机不计费模式；可根据业务场景灵活选型创建云主机实例</w:t>
            </w:r>
          </w:p>
        </w:tc>
      </w:tr>
      <w:tr w14:paraId="51D6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645A185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962" w:type="dxa"/>
            <w:vAlign w:val="center"/>
          </w:tcPr>
          <w:p w14:paraId="7094058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费用管理</w:t>
            </w:r>
          </w:p>
        </w:tc>
        <w:tc>
          <w:tcPr>
            <w:tcW w:w="6555" w:type="dxa"/>
            <w:vAlign w:val="center"/>
          </w:tcPr>
          <w:p w14:paraId="6EE49CE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支持云主机续费、退订、同配置购买、计费模式切换；具备资源到期提醒能力</w:t>
            </w:r>
          </w:p>
        </w:tc>
      </w:tr>
      <w:tr w14:paraId="4F03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7162568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962" w:type="dxa"/>
            <w:vAlign w:val="center"/>
          </w:tcPr>
          <w:p w14:paraId="4ACFF65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配置变更</w:t>
            </w:r>
          </w:p>
        </w:tc>
        <w:tc>
          <w:tcPr>
            <w:tcW w:w="6555" w:type="dxa"/>
            <w:vAlign w:val="center"/>
          </w:tcPr>
          <w:p w14:paraId="7E58D5CD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支持云主机规格升配、降配，支持更换操作系统镜像、磁盘容量扩容调整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，需要提供相关报价</w:t>
            </w:r>
          </w:p>
        </w:tc>
      </w:tr>
      <w:tr w14:paraId="0B901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366EB96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962" w:type="dxa"/>
            <w:vAlign w:val="center"/>
          </w:tcPr>
          <w:p w14:paraId="3456A39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策略管理</w:t>
            </w:r>
          </w:p>
        </w:tc>
        <w:tc>
          <w:tcPr>
            <w:tcW w:w="6555" w:type="dxa"/>
            <w:vAlign w:val="center"/>
          </w:tcPr>
          <w:p w14:paraId="5FA991E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支持云主机组能力，具备强制反亲和性、非强制反亲和性、强制亲和性、非强制亲和性调度策略，支持云主机动态迁入、迁出云主机组</w:t>
            </w:r>
          </w:p>
        </w:tc>
      </w:tr>
      <w:tr w14:paraId="41E7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520E527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962" w:type="dxa"/>
            <w:vAlign w:val="center"/>
          </w:tcPr>
          <w:p w14:paraId="42AB236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高可用机制</w:t>
            </w:r>
          </w:p>
        </w:tc>
        <w:tc>
          <w:tcPr>
            <w:tcW w:w="6555" w:type="dxa"/>
            <w:vAlign w:val="center"/>
          </w:tcPr>
          <w:p w14:paraId="7C038C9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 HA 高可用能力；云主机故障可检测并自动拉起，分钟级业务恢复；宿主机故障、BMC 电源不可达场景下，支持虚拟机正常疏散迁移</w:t>
            </w:r>
          </w:p>
        </w:tc>
      </w:tr>
      <w:tr w14:paraId="1AF0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679884D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962" w:type="dxa"/>
            <w:vAlign w:val="center"/>
          </w:tcPr>
          <w:p w14:paraId="05CF0B2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服务可用性</w:t>
            </w:r>
          </w:p>
        </w:tc>
        <w:tc>
          <w:tcPr>
            <w:tcW w:w="6555" w:type="dxa"/>
            <w:vAlign w:val="center"/>
          </w:tcPr>
          <w:p w14:paraId="67E6C8D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单台弹性云主机服务周期可用率不低于 99.975%；部署在同一区域多可用区的弹性云主机服务周期可用率不低于 99.995%</w:t>
            </w:r>
          </w:p>
        </w:tc>
      </w:tr>
      <w:tr w14:paraId="6F6C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9" w:type="dxa"/>
            <w:vAlign w:val="center"/>
          </w:tcPr>
          <w:p w14:paraId="7420AF3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962" w:type="dxa"/>
            <w:vAlign w:val="center"/>
          </w:tcPr>
          <w:p w14:paraId="20634BF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多可用区架构</w:t>
            </w:r>
          </w:p>
        </w:tc>
        <w:tc>
          <w:tcPr>
            <w:tcW w:w="6555" w:type="dxa"/>
            <w:vAlign w:val="center"/>
          </w:tcPr>
          <w:p w14:paraId="63BB39A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支持多Region架构，单Region支持2AZ可用区、3AZ可用区部署架构</w:t>
            </w:r>
          </w:p>
        </w:tc>
      </w:tr>
    </w:tbl>
    <w:p w14:paraId="7319A124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（二）互联网、卫健专网出口带宽租用</w:t>
      </w:r>
    </w:p>
    <w:p w14:paraId="2A4EC915"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9"/>
        <w:gridCol w:w="1123"/>
        <w:gridCol w:w="3327"/>
        <w:gridCol w:w="632"/>
        <w:gridCol w:w="2205"/>
      </w:tblGrid>
      <w:tr w14:paraId="22BD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084" w:type="dxa"/>
            <w:vAlign w:val="center"/>
          </w:tcPr>
          <w:p w14:paraId="15B8AE4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资源类型</w:t>
            </w:r>
          </w:p>
        </w:tc>
        <w:tc>
          <w:tcPr>
            <w:tcW w:w="1093" w:type="dxa"/>
            <w:vAlign w:val="center"/>
          </w:tcPr>
          <w:p w14:paraId="2813594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资源名称</w:t>
            </w:r>
          </w:p>
        </w:tc>
        <w:tc>
          <w:tcPr>
            <w:tcW w:w="0" w:type="auto"/>
            <w:vAlign w:val="center"/>
          </w:tcPr>
          <w:p w14:paraId="6DC5F78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规格配置</w:t>
            </w:r>
          </w:p>
        </w:tc>
        <w:tc>
          <w:tcPr>
            <w:tcW w:w="602" w:type="dxa"/>
            <w:vAlign w:val="center"/>
          </w:tcPr>
          <w:p w14:paraId="049A123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160" w:type="dxa"/>
            <w:vAlign w:val="center"/>
          </w:tcPr>
          <w:p w14:paraId="0321CDB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部署用途 / 功能说明</w:t>
            </w:r>
          </w:p>
        </w:tc>
      </w:tr>
      <w:tr w14:paraId="52BC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652C481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网络资源</w:t>
            </w:r>
          </w:p>
        </w:tc>
        <w:tc>
          <w:tcPr>
            <w:tcW w:w="1093" w:type="dxa"/>
            <w:vAlign w:val="center"/>
          </w:tcPr>
          <w:p w14:paraId="64D5565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一级或二级域名</w:t>
            </w:r>
          </w:p>
        </w:tc>
        <w:tc>
          <w:tcPr>
            <w:tcW w:w="0" w:type="auto"/>
            <w:vAlign w:val="center"/>
          </w:tcPr>
          <w:p w14:paraId="61AAEF9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/</w:t>
            </w:r>
          </w:p>
        </w:tc>
        <w:tc>
          <w:tcPr>
            <w:tcW w:w="602" w:type="dxa"/>
            <w:vAlign w:val="center"/>
          </w:tcPr>
          <w:p w14:paraId="23D0DF2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 个</w:t>
            </w:r>
          </w:p>
        </w:tc>
        <w:tc>
          <w:tcPr>
            <w:tcW w:w="2160" w:type="dxa"/>
            <w:vAlign w:val="center"/>
          </w:tcPr>
          <w:p w14:paraId="1591F99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业务独立域名部署</w:t>
            </w:r>
          </w:p>
        </w:tc>
      </w:tr>
      <w:tr w14:paraId="2B71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47F2ED1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FFD59B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SSL 通配证书</w:t>
            </w:r>
          </w:p>
        </w:tc>
        <w:tc>
          <w:tcPr>
            <w:tcW w:w="0" w:type="auto"/>
            <w:vAlign w:val="center"/>
          </w:tcPr>
          <w:p w14:paraId="51CF2FB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有效期1年，到期需服务商自动续，不得影响使用</w:t>
            </w:r>
          </w:p>
        </w:tc>
        <w:tc>
          <w:tcPr>
            <w:tcW w:w="602" w:type="dxa"/>
            <w:vAlign w:val="center"/>
          </w:tcPr>
          <w:p w14:paraId="39FDD40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 个</w:t>
            </w:r>
          </w:p>
        </w:tc>
        <w:tc>
          <w:tcPr>
            <w:tcW w:w="2160" w:type="dxa"/>
            <w:vAlign w:val="center"/>
          </w:tcPr>
          <w:p w14:paraId="5594EAC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业务 HTTPS 加密访问</w:t>
            </w:r>
          </w:p>
        </w:tc>
      </w:tr>
      <w:tr w14:paraId="22343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610F26D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C91D66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云上共享带宽</w:t>
            </w:r>
          </w:p>
        </w:tc>
        <w:tc>
          <w:tcPr>
            <w:tcW w:w="0" w:type="auto"/>
            <w:vAlign w:val="center"/>
          </w:tcPr>
          <w:p w14:paraId="7B487D9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200M/1000M</w:t>
            </w:r>
          </w:p>
        </w:tc>
        <w:tc>
          <w:tcPr>
            <w:tcW w:w="602" w:type="dxa"/>
            <w:vAlign w:val="center"/>
          </w:tcPr>
          <w:p w14:paraId="2845F46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 条</w:t>
            </w:r>
          </w:p>
        </w:tc>
        <w:tc>
          <w:tcPr>
            <w:tcW w:w="2160" w:type="dxa"/>
            <w:vAlign w:val="center"/>
          </w:tcPr>
          <w:p w14:paraId="257F0A4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保障业务整体访问带宽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（分别报两个不同带宽的价格）</w:t>
            </w:r>
          </w:p>
        </w:tc>
      </w:tr>
      <w:tr w14:paraId="31AC4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1544265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7B5120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卫生专网专线</w:t>
            </w:r>
          </w:p>
        </w:tc>
        <w:tc>
          <w:tcPr>
            <w:tcW w:w="0" w:type="auto"/>
            <w:vAlign w:val="center"/>
          </w:tcPr>
          <w:p w14:paraId="4D79E57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100M/500M，支持 MPLS、IPRAN 接入方式</w:t>
            </w:r>
          </w:p>
        </w:tc>
        <w:tc>
          <w:tcPr>
            <w:tcW w:w="602" w:type="dxa"/>
            <w:vAlign w:val="center"/>
          </w:tcPr>
          <w:p w14:paraId="773C90A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 条</w:t>
            </w:r>
          </w:p>
        </w:tc>
        <w:tc>
          <w:tcPr>
            <w:tcW w:w="2160" w:type="dxa"/>
            <w:vAlign w:val="center"/>
          </w:tcPr>
          <w:p w14:paraId="375B276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医疗机构与卫健云平台互通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（分别报两个不同带宽的价格）</w:t>
            </w:r>
          </w:p>
        </w:tc>
      </w:tr>
      <w:tr w14:paraId="0405D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08F731E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2DD8A5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互联网带宽</w:t>
            </w:r>
          </w:p>
        </w:tc>
        <w:tc>
          <w:tcPr>
            <w:tcW w:w="0" w:type="auto"/>
            <w:vAlign w:val="center"/>
          </w:tcPr>
          <w:p w14:paraId="1CB163E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100M/500M </w:t>
            </w:r>
          </w:p>
        </w:tc>
        <w:tc>
          <w:tcPr>
            <w:tcW w:w="602" w:type="dxa"/>
            <w:vAlign w:val="center"/>
          </w:tcPr>
          <w:p w14:paraId="26C650D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 条</w:t>
            </w:r>
          </w:p>
        </w:tc>
        <w:tc>
          <w:tcPr>
            <w:tcW w:w="2160" w:type="dxa"/>
            <w:vAlign w:val="center"/>
          </w:tcPr>
          <w:p w14:paraId="5C00E4F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对外提供互联网访问能力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（分别报两个不同带宽的价格）</w:t>
            </w:r>
          </w:p>
        </w:tc>
      </w:tr>
      <w:tr w14:paraId="4488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84" w:type="dxa"/>
            <w:vAlign w:val="center"/>
          </w:tcPr>
          <w:p w14:paraId="5BD6589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服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务</w:t>
            </w:r>
          </w:p>
        </w:tc>
        <w:tc>
          <w:tcPr>
            <w:tcW w:w="1093" w:type="dxa"/>
            <w:vAlign w:val="center"/>
          </w:tcPr>
          <w:p w14:paraId="0FCDB4F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备案服务</w:t>
            </w:r>
          </w:p>
        </w:tc>
        <w:tc>
          <w:tcPr>
            <w:tcW w:w="0" w:type="auto"/>
            <w:vAlign w:val="center"/>
          </w:tcPr>
          <w:p w14:paraId="60A79C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1118E8B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1个</w:t>
            </w:r>
          </w:p>
        </w:tc>
        <w:tc>
          <w:tcPr>
            <w:tcW w:w="2160" w:type="dxa"/>
            <w:vAlign w:val="center"/>
          </w:tcPr>
          <w:p w14:paraId="29B4C5F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提供域名等相关的备案服务</w:t>
            </w:r>
          </w:p>
        </w:tc>
      </w:tr>
    </w:tbl>
    <w:p w14:paraId="5A6FCC6F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（三）云安全服务</w:t>
      </w:r>
    </w:p>
    <w:p w14:paraId="643DE7D9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1. 下一代防火墙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1"/>
        <w:gridCol w:w="745"/>
        <w:gridCol w:w="7250"/>
      </w:tblGrid>
      <w:tr w14:paraId="77EA0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0A0DEB5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5BA6208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53BBCC8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61E97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42AB1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12E79D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访问控制</w:t>
            </w:r>
          </w:p>
        </w:tc>
        <w:tc>
          <w:tcPr>
            <w:tcW w:w="0" w:type="auto"/>
            <w:vAlign w:val="center"/>
          </w:tcPr>
          <w:p w14:paraId="249447C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支持基于源 / 目的 IP、用户、端口、应用、域名、时间策略等多维度访问控制策略</w:t>
            </w:r>
          </w:p>
        </w:tc>
      </w:tr>
      <w:tr w14:paraId="55219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DF394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B95F0A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策略冗余检测</w:t>
            </w:r>
          </w:p>
        </w:tc>
        <w:tc>
          <w:tcPr>
            <w:tcW w:w="0" w:type="auto"/>
            <w:vAlign w:val="center"/>
          </w:tcPr>
          <w:p w14:paraId="24F4308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支持安全策略冗余检测，可识别冗余无效策略，便于策略清理优化</w:t>
            </w:r>
          </w:p>
        </w:tc>
      </w:tr>
      <w:tr w14:paraId="170C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7CC85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B859AC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策略优化</w:t>
            </w:r>
          </w:p>
        </w:tc>
        <w:tc>
          <w:tcPr>
            <w:tcW w:w="0" w:type="auto"/>
            <w:vAlign w:val="center"/>
          </w:tcPr>
          <w:p w14:paraId="010AD94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能够提取命中指定策略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ID的流量作为流量数据分析源，生成服务并且根据管理员设置的替换规则、聚合规则优化流量数据，最后自动生成符合管理员期望的安全策略规则</w:t>
            </w:r>
          </w:p>
        </w:tc>
      </w:tr>
      <w:tr w14:paraId="613A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EE0E0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18F949E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弱口令检测</w:t>
            </w:r>
          </w:p>
        </w:tc>
        <w:tc>
          <w:tcPr>
            <w:tcW w:w="0" w:type="auto"/>
            <w:vAlign w:val="center"/>
          </w:tcPr>
          <w:p w14:paraId="0CA84BF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FTP、TELNET、SMTP、POP3、IMAP、WEB 等多协议弱口令检测，识别潜在安全风险</w:t>
            </w:r>
          </w:p>
        </w:tc>
      </w:tr>
      <w:tr w14:paraId="4D892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22DE6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2CBCF1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病毒检测</w:t>
            </w:r>
          </w:p>
        </w:tc>
        <w:tc>
          <w:tcPr>
            <w:tcW w:w="0" w:type="auto"/>
            <w:vAlign w:val="center"/>
          </w:tcPr>
          <w:p w14:paraId="74FC626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RAR、ZIP、GZIP、BZIP2、TAR 等压缩文件病毒检测；病毒特征库支持实时更新</w:t>
            </w:r>
          </w:p>
        </w:tc>
      </w:tr>
      <w:tr w14:paraId="44E0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AEA274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E4696E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入侵防御</w:t>
            </w:r>
          </w:p>
        </w:tc>
        <w:tc>
          <w:tcPr>
            <w:tcW w:w="0" w:type="auto"/>
            <w:vAlign w:val="center"/>
          </w:tcPr>
          <w:p w14:paraId="27B99C3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HTTP、HTTPS、SMTP、IMAP、POP3、NETBIOS 等协议攻击检测与防御</w:t>
            </w:r>
          </w:p>
        </w:tc>
      </w:tr>
      <w:tr w14:paraId="604A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1196C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0F356F5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安全控制</w:t>
            </w:r>
          </w:p>
        </w:tc>
        <w:tc>
          <w:tcPr>
            <w:tcW w:w="0" w:type="auto"/>
            <w:vAlign w:val="center"/>
          </w:tcPr>
          <w:p w14:paraId="4AFDEB8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具备应用识别、访问控制、黑白名单；支持策略命中统计、五元组预匹配校验</w:t>
            </w:r>
          </w:p>
        </w:tc>
      </w:tr>
      <w:tr w14:paraId="5B6F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D208CE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761198F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负载均衡</w:t>
            </w:r>
          </w:p>
        </w:tc>
        <w:tc>
          <w:tcPr>
            <w:tcW w:w="0" w:type="auto"/>
            <w:vAlign w:val="center"/>
          </w:tcPr>
          <w:p w14:paraId="18A139F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支持链路负载均衡、服务器负载均衡能力</w:t>
            </w:r>
          </w:p>
        </w:tc>
      </w:tr>
      <w:tr w14:paraId="27BE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4F8E0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7E90710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日志记录</w:t>
            </w:r>
          </w:p>
        </w:tc>
        <w:tc>
          <w:tcPr>
            <w:tcW w:w="0" w:type="auto"/>
            <w:vAlign w:val="center"/>
          </w:tcPr>
          <w:p w14:paraId="48AB890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支持事件日志、网络日志、配置日志、威胁日志、会话日志、NAT 日志、URL 日志、策略路由日志、云沙箱日志、文件过滤日志、内容过滤日志、上网行为审计日志记录与展示</w:t>
            </w:r>
          </w:p>
        </w:tc>
      </w:tr>
      <w:tr w14:paraId="289B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ECE90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985313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日志存储</w:t>
            </w:r>
          </w:p>
        </w:tc>
        <w:tc>
          <w:tcPr>
            <w:tcW w:w="0" w:type="auto"/>
            <w:vAlign w:val="center"/>
          </w:tcPr>
          <w:p w14:paraId="29474F9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支持日志本地缓存、本地数据库、文件存储，满足日志管理分析需求</w:t>
            </w:r>
          </w:p>
        </w:tc>
      </w:tr>
      <w:tr w14:paraId="3705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4B7FA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2E2BD45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日志外发</w:t>
            </w:r>
          </w:p>
        </w:tc>
        <w:tc>
          <w:tcPr>
            <w:tcW w:w="0" w:type="auto"/>
            <w:vAlign w:val="center"/>
          </w:tcPr>
          <w:p w14:paraId="60863A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TCP、UDP 协议外发日志，支持明文、二进制分发模式</w:t>
            </w:r>
          </w:p>
        </w:tc>
      </w:tr>
      <w:tr w14:paraId="25C4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463A60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42B91BA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日志空间调整</w:t>
            </w:r>
          </w:p>
        </w:tc>
        <w:tc>
          <w:tcPr>
            <w:tcW w:w="0" w:type="auto"/>
            <w:vAlign w:val="center"/>
          </w:tcPr>
          <w:p w14:paraId="3D9E3E5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可自定义调整各类日志存储分配空间</w:t>
            </w:r>
          </w:p>
        </w:tc>
      </w:tr>
      <w:tr w14:paraId="5EA24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7793A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435156F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登录管理</w:t>
            </w:r>
          </w:p>
        </w:tc>
        <w:tc>
          <w:tcPr>
            <w:tcW w:w="0" w:type="auto"/>
            <w:vAlign w:val="center"/>
          </w:tcPr>
          <w:p w14:paraId="4737FCE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支持登录失败锁定次数、锁定时长、密码复杂度、账号有效期、会话超时等安全配置</w:t>
            </w:r>
          </w:p>
        </w:tc>
      </w:tr>
    </w:tbl>
    <w:p w14:paraId="136F25C8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2. 主机安全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2"/>
        <w:gridCol w:w="1309"/>
        <w:gridCol w:w="6645"/>
      </w:tblGrid>
      <w:tr w14:paraId="3433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198DED4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30FCA41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3B2541A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7BBB5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5D9D8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91059C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账号检测</w:t>
            </w:r>
          </w:p>
        </w:tc>
        <w:tc>
          <w:tcPr>
            <w:tcW w:w="0" w:type="auto"/>
            <w:vAlign w:val="center"/>
          </w:tcPr>
          <w:p w14:paraId="1E433BE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主机账号检测，展示用户名、密码状态、用户组、账号到期时间、登录历史时间、登录 IP 信息</w:t>
            </w:r>
          </w:p>
        </w:tc>
      </w:tr>
      <w:tr w14:paraId="5134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ECE0A9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55B833B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账号变更追踪</w:t>
            </w:r>
          </w:p>
        </w:tc>
        <w:tc>
          <w:tcPr>
            <w:tcW w:w="0" w:type="auto"/>
            <w:vAlign w:val="center"/>
          </w:tcPr>
          <w:p w14:paraId="0B485A7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记录账号变更历史，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历史变更信息包括账号变动状态、修改账号名、管理员权限、用户组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，便于可疑账号排查</w:t>
            </w:r>
          </w:p>
        </w:tc>
      </w:tr>
      <w:tr w14:paraId="6533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8BA14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2734D8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自启动项检测</w:t>
            </w:r>
          </w:p>
        </w:tc>
        <w:tc>
          <w:tcPr>
            <w:tcW w:w="0" w:type="auto"/>
            <w:vAlign w:val="center"/>
          </w:tcPr>
          <w:p w14:paraId="6EC9EA9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检测主机自启动服务，展示启动项名称，支持自启动项管理</w:t>
            </w:r>
          </w:p>
        </w:tc>
      </w:tr>
      <w:tr w14:paraId="5B58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069AE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2DAC51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自启动项变更</w:t>
            </w:r>
          </w:p>
        </w:tc>
        <w:tc>
          <w:tcPr>
            <w:tcW w:w="0" w:type="auto"/>
            <w:vAlign w:val="center"/>
          </w:tcPr>
          <w:p w14:paraId="5B6631D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记录自启动项变更历史，及时发现异常自启动行为</w:t>
            </w:r>
          </w:p>
        </w:tc>
      </w:tr>
      <w:tr w14:paraId="543C6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9891D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8B62E6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暴力破解防护</w:t>
            </w:r>
          </w:p>
        </w:tc>
        <w:tc>
          <w:tcPr>
            <w:tcW w:w="0" w:type="auto"/>
            <w:vAlign w:val="center"/>
          </w:tcPr>
          <w:p w14:paraId="774DA43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实时监控暴力登录行为，记录入侵事件，支持自动拦截</w:t>
            </w:r>
          </w:p>
        </w:tc>
      </w:tr>
      <w:tr w14:paraId="5A67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FD8C9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5110EFC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后门检测</w:t>
            </w:r>
          </w:p>
        </w:tc>
        <w:tc>
          <w:tcPr>
            <w:tcW w:w="0" w:type="auto"/>
            <w:vAlign w:val="center"/>
          </w:tcPr>
          <w:p w14:paraId="7A978D2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进程后门行为监控，定期扫描识别 Rootkit、Bootkit 及各类后门程序</w:t>
            </w:r>
          </w:p>
        </w:tc>
      </w:tr>
      <w:tr w14:paraId="7125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2C034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3AAD3B3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反弹 Shell 检测</w:t>
            </w:r>
          </w:p>
        </w:tc>
        <w:tc>
          <w:tcPr>
            <w:tcW w:w="0" w:type="auto"/>
            <w:vAlign w:val="center"/>
          </w:tcPr>
          <w:p w14:paraId="224E204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分析进程命令参数，识别反弹 Shell 攻击行为并实时告警</w:t>
            </w:r>
          </w:p>
        </w:tc>
      </w:tr>
      <w:tr w14:paraId="5C21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EEB016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3AC2742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Web 目录检测</w:t>
            </w:r>
          </w:p>
        </w:tc>
        <w:tc>
          <w:tcPr>
            <w:tcW w:w="0" w:type="auto"/>
            <w:vAlign w:val="center"/>
          </w:tcPr>
          <w:p w14:paraId="744AC64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扫描 Web 目录文件，发现 Web 后门文件实时告警</w:t>
            </w:r>
          </w:p>
        </w:tc>
      </w:tr>
      <w:tr w14:paraId="58AD6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983BA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584F8D5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系统兼容性</w:t>
            </w:r>
          </w:p>
        </w:tc>
        <w:tc>
          <w:tcPr>
            <w:tcW w:w="0" w:type="auto"/>
            <w:vAlign w:val="center"/>
          </w:tcPr>
          <w:p w14:paraId="091D87B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客户端兼容 Windows 系列操作系统、麒麟、统信 UOS 国产桌面操作系统、Linux 服务器操作系统</w:t>
            </w:r>
          </w:p>
        </w:tc>
      </w:tr>
      <w:tr w14:paraId="7895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F6976D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4CA2DF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平台管理</w:t>
            </w:r>
          </w:p>
        </w:tc>
        <w:tc>
          <w:tcPr>
            <w:tcW w:w="0" w:type="auto"/>
            <w:vAlign w:val="center"/>
          </w:tcPr>
          <w:p w14:paraId="6E17C15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B/S 管理架构，控制台 HTTPS 加密访问；支持登录失败锁定、密码复杂度、账号有效期、会话超时安全配置</w:t>
            </w:r>
          </w:p>
        </w:tc>
      </w:tr>
      <w:tr w14:paraId="6122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C809A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44959B1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威胁防护</w:t>
            </w:r>
          </w:p>
        </w:tc>
        <w:tc>
          <w:tcPr>
            <w:tcW w:w="0" w:type="auto"/>
            <w:vAlign w:val="center"/>
          </w:tcPr>
          <w:p w14:paraId="26F0A58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查杀病毒、木马、勒索软件、挖矿程序、恶意脚本，特征库实时更新</w:t>
            </w:r>
          </w:p>
        </w:tc>
      </w:tr>
      <w:tr w14:paraId="340E2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3A84A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68D6925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黑白名单</w:t>
            </w:r>
          </w:p>
        </w:tc>
        <w:tc>
          <w:tcPr>
            <w:tcW w:w="0" w:type="auto"/>
            <w:vAlign w:val="center"/>
          </w:tcPr>
          <w:p w14:paraId="37D17A1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支持安全黑白名单配置</w:t>
            </w:r>
          </w:p>
        </w:tc>
      </w:tr>
      <w:tr w14:paraId="14FE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E89F2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0E4AA8B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入侵检测</w:t>
            </w:r>
          </w:p>
        </w:tc>
        <w:tc>
          <w:tcPr>
            <w:tcW w:w="0" w:type="auto"/>
            <w:vAlign w:val="center"/>
          </w:tcPr>
          <w:p w14:paraId="1A6783C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多协议攻击检测防御</w:t>
            </w:r>
          </w:p>
        </w:tc>
      </w:tr>
      <w:tr w14:paraId="2D15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AB8C2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2CCB373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日志外发</w:t>
            </w:r>
          </w:p>
        </w:tc>
        <w:tc>
          <w:tcPr>
            <w:tcW w:w="0" w:type="auto"/>
            <w:vAlign w:val="center"/>
          </w:tcPr>
          <w:p w14:paraId="5E81F41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TCP、UDP 协议外发日志，支持明文、二进制分发模式</w:t>
            </w:r>
          </w:p>
        </w:tc>
      </w:tr>
    </w:tbl>
    <w:p w14:paraId="0F79F360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3.Web 应用防火墙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218"/>
        <w:gridCol w:w="6688"/>
      </w:tblGrid>
      <w:tr w14:paraId="250B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1C37561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3F69EF5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2FC3400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2EBD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79597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2BB780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域名管理</w:t>
            </w:r>
          </w:p>
        </w:tc>
        <w:tc>
          <w:tcPr>
            <w:tcW w:w="0" w:type="auto"/>
            <w:vAlign w:val="center"/>
          </w:tcPr>
          <w:p w14:paraId="15C1132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支持精确域名、泛域名防护配置</w:t>
            </w:r>
          </w:p>
        </w:tc>
      </w:tr>
      <w:tr w14:paraId="5CF1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067BE0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C64387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源 IP 判定</w:t>
            </w:r>
          </w:p>
        </w:tc>
        <w:tc>
          <w:tcPr>
            <w:tcW w:w="0" w:type="auto"/>
            <w:vAlign w:val="center"/>
          </w:tcPr>
          <w:p w14:paraId="5A39667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前置代理场景下可配置真实客户端 IP 获取方式</w:t>
            </w:r>
          </w:p>
        </w:tc>
      </w:tr>
      <w:tr w14:paraId="2AE66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C7C42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0F4974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证书支持</w:t>
            </w:r>
          </w:p>
        </w:tc>
        <w:tc>
          <w:tcPr>
            <w:tcW w:w="0" w:type="auto"/>
            <w:vAlign w:val="center"/>
          </w:tcPr>
          <w:p w14:paraId="5F4BBFB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支持通用证书、国密证书解密，可自定义加密套件</w:t>
            </w:r>
          </w:p>
        </w:tc>
      </w:tr>
      <w:tr w14:paraId="44E73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8B7C3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B8F509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非标端口防护</w:t>
            </w:r>
          </w:p>
        </w:tc>
        <w:tc>
          <w:tcPr>
            <w:tcW w:w="0" w:type="auto"/>
            <w:vAlign w:val="center"/>
          </w:tcPr>
          <w:p w14:paraId="76ECB9E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支持非标准业务端口的 Web 防护</w:t>
            </w:r>
          </w:p>
        </w:tc>
      </w:tr>
      <w:tr w14:paraId="78BFB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D13BC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63D462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黑白名单</w:t>
            </w:r>
          </w:p>
        </w:tc>
        <w:tc>
          <w:tcPr>
            <w:tcW w:w="0" w:type="auto"/>
            <w:vAlign w:val="center"/>
          </w:tcPr>
          <w:p w14:paraId="2F36E6A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规则黑白名单，可指定访问请求跳过全部或部分防护规则</w:t>
            </w:r>
          </w:p>
        </w:tc>
      </w:tr>
      <w:tr w14:paraId="4DD5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C4ED6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01F77A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防护模式</w:t>
            </w:r>
          </w:p>
        </w:tc>
        <w:tc>
          <w:tcPr>
            <w:tcW w:w="0" w:type="auto"/>
            <w:vAlign w:val="center"/>
          </w:tcPr>
          <w:p w14:paraId="5FB6980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提供常规防护模式、紧急防护模式；常规模式误报低，紧急模式侧重 CC 攻击拦截</w:t>
            </w:r>
          </w:p>
        </w:tc>
      </w:tr>
      <w:tr w14:paraId="231A2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65413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0E5E696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限速策略</w:t>
            </w:r>
          </w:p>
        </w:tc>
        <w:tc>
          <w:tcPr>
            <w:tcW w:w="0" w:type="auto"/>
            <w:vAlign w:val="center"/>
          </w:tcPr>
          <w:p w14:paraId="74525AB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基于源 IP、会话维度配置访问限速策略</w:t>
            </w:r>
          </w:p>
        </w:tc>
      </w:tr>
      <w:tr w14:paraId="4385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52CD7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40D4BC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执行动作</w:t>
            </w:r>
          </w:p>
        </w:tc>
        <w:tc>
          <w:tcPr>
            <w:tcW w:w="0" w:type="auto"/>
            <w:vAlign w:val="center"/>
          </w:tcPr>
          <w:p w14:paraId="28B846E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支持拦截、观察、验证码、JS 挑战、放行等处置动作</w:t>
            </w:r>
          </w:p>
        </w:tc>
      </w:tr>
      <w:tr w14:paraId="1D24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7212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39B8886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BOT 防护</w:t>
            </w:r>
          </w:p>
        </w:tc>
        <w:tc>
          <w:tcPr>
            <w:tcW w:w="0" w:type="auto"/>
            <w:vAlign w:val="center"/>
          </w:tcPr>
          <w:p w14:paraId="1AF6C87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多维度 BOT 行为识别，可配置 BOT 对抗策略</w:t>
            </w:r>
          </w:p>
        </w:tc>
      </w:tr>
      <w:tr w14:paraId="1383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07CA0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38E3DFA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访问过滤</w:t>
            </w:r>
          </w:p>
        </w:tc>
        <w:tc>
          <w:tcPr>
            <w:tcW w:w="0" w:type="auto"/>
            <w:vAlign w:val="center"/>
          </w:tcPr>
          <w:p w14:paraId="16288B9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基于 IP、URL、Referer、User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Agent 等多请求特征组合过滤访问流量</w:t>
            </w:r>
          </w:p>
        </w:tc>
      </w:tr>
      <w:tr w14:paraId="6E0F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876A2F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545E50E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日志外发</w:t>
            </w:r>
          </w:p>
        </w:tc>
        <w:tc>
          <w:tcPr>
            <w:tcW w:w="0" w:type="auto"/>
            <w:vAlign w:val="center"/>
          </w:tcPr>
          <w:p w14:paraId="181911F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TCP、UDP 协议外发日志，支持明文、二进制分发模式</w:t>
            </w:r>
          </w:p>
        </w:tc>
      </w:tr>
      <w:tr w14:paraId="73001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FB403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76B8803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平台管理</w:t>
            </w:r>
          </w:p>
        </w:tc>
        <w:tc>
          <w:tcPr>
            <w:tcW w:w="0" w:type="auto"/>
            <w:vAlign w:val="center"/>
          </w:tcPr>
          <w:p w14:paraId="1F5EACA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B/S 管理架构，控制台 HTTPS 加密访问；具备登录安全相关配置能力</w:t>
            </w:r>
          </w:p>
        </w:tc>
      </w:tr>
    </w:tbl>
    <w:p w14:paraId="2F174B94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4. 堡垒机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1"/>
        <w:gridCol w:w="1120"/>
        <w:gridCol w:w="6845"/>
      </w:tblGrid>
      <w:tr w14:paraId="30A1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685A5F9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360464A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1260C96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3F958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22986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5180B1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资产自动导入</w:t>
            </w:r>
          </w:p>
        </w:tc>
        <w:tc>
          <w:tcPr>
            <w:tcW w:w="0" w:type="auto"/>
            <w:vAlign w:val="center"/>
          </w:tcPr>
          <w:p w14:paraId="34E47DF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支持云上资产自动导入，一键完成资产授权管控</w:t>
            </w:r>
          </w:p>
        </w:tc>
      </w:tr>
      <w:tr w14:paraId="78FD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BE4D5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65FC1F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工具支持</w:t>
            </w:r>
          </w:p>
        </w:tc>
        <w:tc>
          <w:tcPr>
            <w:tcW w:w="0" w:type="auto"/>
            <w:vAlign w:val="center"/>
          </w:tcPr>
          <w:p w14:paraId="359A911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兼容 SecureCRT、Xshell、putty、vnc_viewer、mstsc、filezila、WinSCP、Navicat、DBeaver 等主流运维客户端工具</w:t>
            </w:r>
          </w:p>
        </w:tc>
      </w:tr>
      <w:tr w14:paraId="581D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1EF95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27E2227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资源纳管</w:t>
            </w:r>
          </w:p>
        </w:tc>
        <w:tc>
          <w:tcPr>
            <w:tcW w:w="0" w:type="auto"/>
            <w:vAlign w:val="center"/>
          </w:tcPr>
          <w:p w14:paraId="1CED514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纳管 Windows、Linux 主机，MySQL、PostgreSQL、Oracle、DB2 等数据库资源</w:t>
            </w:r>
          </w:p>
        </w:tc>
      </w:tr>
      <w:tr w14:paraId="7EED1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96E0E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78557D1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协议支持</w:t>
            </w:r>
          </w:p>
        </w:tc>
        <w:tc>
          <w:tcPr>
            <w:tcW w:w="0" w:type="auto"/>
            <w:vAlign w:val="center"/>
          </w:tcPr>
          <w:p w14:paraId="2BA22F8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SSH、TELNET、RDP、VNC、FTP、SFTP 以及主流数据库协议，兼容第三方客户端</w:t>
            </w:r>
          </w:p>
        </w:tc>
      </w:tr>
      <w:tr w14:paraId="534A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F56D4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C0674C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日志备份</w:t>
            </w:r>
          </w:p>
        </w:tc>
        <w:tc>
          <w:tcPr>
            <w:tcW w:w="0" w:type="auto"/>
            <w:vAlign w:val="center"/>
          </w:tcPr>
          <w:p w14:paraId="4A9EDEC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会话日志支持远程备份至 Syslog 服务器，实现日志容灾</w:t>
            </w:r>
          </w:p>
        </w:tc>
      </w:tr>
      <w:tr w14:paraId="4D96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C75F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50A0C1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账号管理</w:t>
            </w:r>
          </w:p>
        </w:tc>
        <w:tc>
          <w:tcPr>
            <w:tcW w:w="0" w:type="auto"/>
            <w:vAlign w:val="center"/>
          </w:tcPr>
          <w:p w14:paraId="7C44AFF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运维账号全生命周期管理，解决共享账号、临时账号滥用风险</w:t>
            </w:r>
          </w:p>
        </w:tc>
      </w:tr>
      <w:tr w14:paraId="6C9E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73B89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69A6410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资源账户管理</w:t>
            </w:r>
          </w:p>
        </w:tc>
        <w:tc>
          <w:tcPr>
            <w:tcW w:w="0" w:type="auto"/>
            <w:vAlign w:val="center"/>
          </w:tcPr>
          <w:p w14:paraId="65DA4DD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集中管理资源账户，支持单点登录</w:t>
            </w:r>
          </w:p>
        </w:tc>
      </w:tr>
      <w:tr w14:paraId="1C65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282EB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0CE2A1C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浏览器运维</w:t>
            </w:r>
          </w:p>
        </w:tc>
        <w:tc>
          <w:tcPr>
            <w:tcW w:w="0" w:type="auto"/>
            <w:vAlign w:val="center"/>
          </w:tcPr>
          <w:p w14:paraId="2AB7541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支持浏览器直接完成字符、图形资产运维操作</w:t>
            </w:r>
          </w:p>
        </w:tc>
      </w:tr>
      <w:tr w14:paraId="01750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D2977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0C978C3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权限控制</w:t>
            </w:r>
          </w:p>
        </w:tc>
        <w:tc>
          <w:tcPr>
            <w:tcW w:w="0" w:type="auto"/>
            <w:vAlign w:val="center"/>
          </w:tcPr>
          <w:p w14:paraId="10E3882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基于用户、用户组、资源做细粒度权限关联管控</w:t>
            </w:r>
          </w:p>
        </w:tc>
      </w:tr>
      <w:tr w14:paraId="5DD51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2BC87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BBCEA3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数据库细粒度控制</w:t>
            </w:r>
          </w:p>
        </w:tc>
        <w:tc>
          <w:tcPr>
            <w:tcW w:w="0" w:type="auto"/>
            <w:vAlign w:val="center"/>
          </w:tcPr>
          <w:p w14:paraId="72D24D2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针对数据库访问实现细粒度权限管控</w:t>
            </w:r>
          </w:p>
        </w:tc>
      </w:tr>
      <w:tr w14:paraId="782CE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2CD0C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45D9F3D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行为告警</w:t>
            </w:r>
          </w:p>
        </w:tc>
        <w:tc>
          <w:tcPr>
            <w:tcW w:w="0" w:type="auto"/>
            <w:vAlign w:val="center"/>
          </w:tcPr>
          <w:p w14:paraId="42AA0B2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记录操作行为，针对越权、恶意、高危操作触发告警通知</w:t>
            </w:r>
          </w:p>
        </w:tc>
      </w:tr>
      <w:tr w14:paraId="0C49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7426B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517055E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运维审计</w:t>
            </w:r>
          </w:p>
        </w:tc>
        <w:tc>
          <w:tcPr>
            <w:tcW w:w="0" w:type="auto"/>
            <w:vAlign w:val="center"/>
          </w:tcPr>
          <w:p w14:paraId="01F5C27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完整记录运维操作，支持事后审计溯源</w:t>
            </w:r>
          </w:p>
        </w:tc>
      </w:tr>
      <w:tr w14:paraId="3F39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39EA3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34EF693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审计类型</w:t>
            </w:r>
          </w:p>
        </w:tc>
        <w:tc>
          <w:tcPr>
            <w:tcW w:w="0" w:type="auto"/>
            <w:vAlign w:val="center"/>
          </w:tcPr>
          <w:p w14:paraId="6AFAB79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Linux 命令审计、Windows 操作审计、数据库命令审计、文件传输审计</w:t>
            </w:r>
          </w:p>
        </w:tc>
      </w:tr>
      <w:tr w14:paraId="50C5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AFC68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43A198F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信息保护</w:t>
            </w:r>
          </w:p>
        </w:tc>
        <w:tc>
          <w:tcPr>
            <w:tcW w:w="0" w:type="auto"/>
            <w:vAlign w:val="center"/>
          </w:tcPr>
          <w:p w14:paraId="51493A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访问控制信息、日志信息具备完整性保护机制；用户个人信息存储保障机密性、完整性</w:t>
            </w:r>
          </w:p>
        </w:tc>
      </w:tr>
      <w:tr w14:paraId="5DE73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9CDD6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62985BF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超时配置</w:t>
            </w:r>
          </w:p>
        </w:tc>
        <w:tc>
          <w:tcPr>
            <w:tcW w:w="0" w:type="auto"/>
            <w:vAlign w:val="center"/>
          </w:tcPr>
          <w:p w14:paraId="6756CE1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可配置用户登录超时、资产访问超时时间</w:t>
            </w:r>
          </w:p>
        </w:tc>
      </w:tr>
      <w:tr w14:paraId="2FBA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B5979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4615BC2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视频回放溯源</w:t>
            </w:r>
          </w:p>
        </w:tc>
        <w:tc>
          <w:tcPr>
            <w:tcW w:w="0" w:type="auto"/>
            <w:vAlign w:val="center"/>
          </w:tcPr>
          <w:p w14:paraId="36B2A7A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完整会话录像，支持倍速回放、危险操作关键字定位</w:t>
            </w:r>
          </w:p>
        </w:tc>
      </w:tr>
      <w:tr w14:paraId="75D1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83137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14:paraId="359396E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日志外发</w:t>
            </w:r>
          </w:p>
        </w:tc>
        <w:tc>
          <w:tcPr>
            <w:tcW w:w="0" w:type="auto"/>
            <w:vAlign w:val="center"/>
          </w:tcPr>
          <w:p w14:paraId="62728F4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TCP、UDP 协议外发日志，支持明文、二进制分发模式</w:t>
            </w:r>
          </w:p>
        </w:tc>
      </w:tr>
    </w:tbl>
    <w:p w14:paraId="31AB10A8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5. 数据库审计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7"/>
        <w:gridCol w:w="626"/>
        <w:gridCol w:w="7403"/>
      </w:tblGrid>
      <w:tr w14:paraId="0CEA9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6E5155D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45165B3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7FBDDEE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24F0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AB85B3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7D0BBF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主流数据库支持</w:t>
            </w:r>
          </w:p>
        </w:tc>
        <w:tc>
          <w:tcPr>
            <w:tcW w:w="0" w:type="auto"/>
            <w:vAlign w:val="center"/>
          </w:tcPr>
          <w:p w14:paraId="6234C43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Oracle、Clickhouse、MySQL、SQL Server、Sybase ASE、DB2、Informix、Cache、PostgreSQL、Vastbase、Teradata、MariaDB、Hana、LibrA、Sybase IQ、TiDB、Vertica、PolarDB、PolarDB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X、Percona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MySQL、Percona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MongoDB 等主流数据库审计</w:t>
            </w:r>
          </w:p>
        </w:tc>
      </w:tr>
      <w:tr w14:paraId="234D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CFD4D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6D6523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国产数据库支持</w:t>
            </w:r>
          </w:p>
        </w:tc>
        <w:tc>
          <w:tcPr>
            <w:tcW w:w="0" w:type="auto"/>
            <w:vAlign w:val="center"/>
          </w:tcPr>
          <w:p w14:paraId="78250C4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支持达梦 DM8、南大通用 GBase、高斯 GaussDB、人大金仓 Kingbase、K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DB、神舟通用 Oscar、OceanBase、瀚高 HighGo DB 等国产数据库审计</w:t>
            </w:r>
          </w:p>
        </w:tc>
      </w:tr>
      <w:tr w14:paraId="75B4A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AB635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DD150F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大数据组件审计</w:t>
            </w:r>
          </w:p>
        </w:tc>
        <w:tc>
          <w:tcPr>
            <w:tcW w:w="0" w:type="auto"/>
            <w:vAlign w:val="center"/>
          </w:tcPr>
          <w:p w14:paraId="7E94763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MongoDB、HBase、Hive、Redis、Elasticsearch、Cassandra、HDFS、Impala、Greenplum 等大数据组件审计</w:t>
            </w:r>
          </w:p>
        </w:tc>
      </w:tr>
      <w:tr w14:paraId="317F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ABD9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B8FC08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结果集存储策略</w:t>
            </w:r>
          </w:p>
        </w:tc>
        <w:tc>
          <w:tcPr>
            <w:tcW w:w="0" w:type="auto"/>
            <w:vAlign w:val="center"/>
          </w:tcPr>
          <w:p w14:paraId="0245ADA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双向审计场景下，支持配置结果集保存行数、最大保存长度策略</w:t>
            </w:r>
          </w:p>
        </w:tc>
      </w:tr>
      <w:tr w14:paraId="07E0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6153D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A902E1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本地直连审计</w:t>
            </w:r>
          </w:p>
        </w:tc>
        <w:tc>
          <w:tcPr>
            <w:tcW w:w="0" w:type="auto"/>
            <w:vAlign w:val="center"/>
          </w:tcPr>
          <w:p w14:paraId="651573D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Agent 捕获本地数据库 SQL 操作，审计本地运维访问行为</w:t>
            </w:r>
          </w:p>
        </w:tc>
      </w:tr>
      <w:tr w14:paraId="110B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336AA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CED1AB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加密流量解析</w:t>
            </w:r>
          </w:p>
        </w:tc>
        <w:tc>
          <w:tcPr>
            <w:tcW w:w="0" w:type="auto"/>
            <w:vAlign w:val="center"/>
          </w:tcPr>
          <w:p w14:paraId="0EF2295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Kerberos 认证加密流量解析审计</w:t>
            </w:r>
          </w:p>
        </w:tc>
      </w:tr>
      <w:tr w14:paraId="6F22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E7765F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371CB06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内置规则</w:t>
            </w:r>
          </w:p>
        </w:tc>
        <w:tc>
          <w:tcPr>
            <w:tcW w:w="0" w:type="auto"/>
            <w:vAlign w:val="center"/>
          </w:tcPr>
          <w:p w14:paraId="4F8677C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内置 SQL 注入、账号安全、数据泄露、违规操作类规则，支持邮件告警</w:t>
            </w:r>
          </w:p>
        </w:tc>
      </w:tr>
      <w:tr w14:paraId="054D5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03923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2244E9A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智能联想</w:t>
            </w:r>
          </w:p>
        </w:tc>
        <w:tc>
          <w:tcPr>
            <w:tcW w:w="0" w:type="auto"/>
            <w:vAlign w:val="center"/>
          </w:tcPr>
          <w:p w14:paraId="35B2EB8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日志检索输入条件智能联想提示</w:t>
            </w:r>
          </w:p>
        </w:tc>
      </w:tr>
      <w:tr w14:paraId="569C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E5BFB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408EB99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告警分析</w:t>
            </w:r>
          </w:p>
        </w:tc>
        <w:tc>
          <w:tcPr>
            <w:tcW w:w="0" w:type="auto"/>
            <w:vAlign w:val="center"/>
          </w:tcPr>
          <w:p w14:paraId="57418CD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按 “客户端 IP + 数据库账号” 维度做 SQL 模板统计排行，支持一键黑白名单操作</w:t>
            </w:r>
          </w:p>
        </w:tc>
      </w:tr>
      <w:tr w14:paraId="25A3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1B951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1D3BCC7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日志查询分析</w:t>
            </w:r>
          </w:p>
        </w:tc>
        <w:tc>
          <w:tcPr>
            <w:tcW w:w="0" w:type="auto"/>
            <w:vAlign w:val="center"/>
          </w:tcPr>
          <w:p w14:paraId="06678EF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多维度筛选审计日志，展示账号、IP、工具、操作类型、影响行数等字段</w:t>
            </w:r>
          </w:p>
        </w:tc>
      </w:tr>
      <w:tr w14:paraId="091CB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D61FD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09381C6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告警方式</w:t>
            </w:r>
          </w:p>
        </w:tc>
        <w:tc>
          <w:tcPr>
            <w:tcW w:w="0" w:type="auto"/>
            <w:vAlign w:val="center"/>
          </w:tcPr>
          <w:p w14:paraId="1635451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页面告警，支持邮件、短信告警推送</w:t>
            </w:r>
          </w:p>
        </w:tc>
      </w:tr>
      <w:tr w14:paraId="52B0E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FA752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3DF49E4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系统告警</w:t>
            </w:r>
          </w:p>
        </w:tc>
        <w:tc>
          <w:tcPr>
            <w:tcW w:w="0" w:type="auto"/>
            <w:vAlign w:val="center"/>
          </w:tcPr>
          <w:p w14:paraId="2AB10CD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平台资源使用率异常、流量代理异常触发告警，页面、邮件、短信推送</w:t>
            </w:r>
          </w:p>
        </w:tc>
      </w:tr>
      <w:tr w14:paraId="09551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5A1CF6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3C1EC3A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一键取证</w:t>
            </w:r>
          </w:p>
        </w:tc>
        <w:tc>
          <w:tcPr>
            <w:tcW w:w="0" w:type="auto"/>
            <w:vAlign w:val="center"/>
          </w:tcPr>
          <w:p w14:paraId="4A271CF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日志页面支持一键取证导出</w:t>
            </w:r>
          </w:p>
        </w:tc>
      </w:tr>
      <w:tr w14:paraId="783C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BD825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5EE79E2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日志外发</w:t>
            </w:r>
          </w:p>
        </w:tc>
        <w:tc>
          <w:tcPr>
            <w:tcW w:w="0" w:type="auto"/>
            <w:vAlign w:val="center"/>
          </w:tcPr>
          <w:p w14:paraId="4E2AD31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TCP、UDP 协议外发日志，支持明文、二进制分发模式</w:t>
            </w:r>
          </w:p>
        </w:tc>
      </w:tr>
      <w:tr w14:paraId="08AF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302A2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3DA338B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平台管理</w:t>
            </w:r>
          </w:p>
        </w:tc>
        <w:tc>
          <w:tcPr>
            <w:tcW w:w="0" w:type="auto"/>
            <w:vAlign w:val="center"/>
          </w:tcPr>
          <w:p w14:paraId="522A50C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B/S 管理架构，控制台 HTTPS 加密访问；登录安全策略配置能力</w:t>
            </w:r>
          </w:p>
        </w:tc>
      </w:tr>
    </w:tbl>
    <w:p w14:paraId="23650230">
      <w:pPr>
        <w:widowControl/>
        <w:spacing w:before="100" w:beforeAutospacing="1" w:after="100" w:afterAutospacing="1" w:line="360" w:lineRule="auto"/>
        <w:jc w:val="left"/>
        <w:outlineLvl w:val="3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6. 日志审计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0"/>
        <w:gridCol w:w="1088"/>
        <w:gridCol w:w="6838"/>
      </w:tblGrid>
      <w:tr w14:paraId="4ACD6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16BC0A2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7E061D3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6FCD3BB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5C80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988C2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86A22B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资产管理</w:t>
            </w:r>
          </w:p>
        </w:tc>
        <w:tc>
          <w:tcPr>
            <w:tcW w:w="0" w:type="auto"/>
            <w:vAlign w:val="center"/>
          </w:tcPr>
          <w:p w14:paraId="6C3110B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资产分组维护管理</w:t>
            </w:r>
          </w:p>
        </w:tc>
      </w:tr>
      <w:tr w14:paraId="0D1A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0AED2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440DA8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资产属性扩展</w:t>
            </w:r>
          </w:p>
        </w:tc>
        <w:tc>
          <w:tcPr>
            <w:tcW w:w="0" w:type="auto"/>
            <w:vAlign w:val="center"/>
          </w:tcPr>
          <w:p w14:paraId="67EAD8C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支持自定义资产标签扩展属性</w:t>
            </w:r>
          </w:p>
        </w:tc>
      </w:tr>
      <w:tr w14:paraId="3CDF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A92DE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B9F4A7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报表报告</w:t>
            </w:r>
          </w:p>
        </w:tc>
        <w:tc>
          <w:tcPr>
            <w:tcW w:w="0" w:type="auto"/>
            <w:vAlign w:val="center"/>
          </w:tcPr>
          <w:p w14:paraId="28F9FF2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自定义报表，支持柱状图、曲线图、饼状图；输出 PDF、Word 格式报表，支持周期邮件推送报表</w:t>
            </w:r>
          </w:p>
        </w:tc>
      </w:tr>
      <w:tr w14:paraId="404D4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938E4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663B294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日志范式化</w:t>
            </w:r>
          </w:p>
        </w:tc>
        <w:tc>
          <w:tcPr>
            <w:tcW w:w="0" w:type="auto"/>
            <w:vAlign w:val="center"/>
          </w:tcPr>
          <w:p w14:paraId="05BAD09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异构日志格式统一范式化处理</w:t>
            </w:r>
          </w:p>
        </w:tc>
      </w:tr>
      <w:tr w14:paraId="79D3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E7C6B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52C8AD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安全事件格式</w:t>
            </w:r>
          </w:p>
        </w:tc>
        <w:tc>
          <w:tcPr>
            <w:tcW w:w="0" w:type="auto"/>
            <w:vAlign w:val="center"/>
          </w:tcPr>
          <w:p w14:paraId="4EE3C3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支持长安全事件格式</w:t>
            </w:r>
          </w:p>
        </w:tc>
      </w:tr>
      <w:tr w14:paraId="2BB8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5AC0E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07ED90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日志保存</w:t>
            </w:r>
          </w:p>
        </w:tc>
        <w:tc>
          <w:tcPr>
            <w:tcW w:w="0" w:type="auto"/>
            <w:vAlign w:val="center"/>
          </w:tcPr>
          <w:p w14:paraId="189FEA7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日志存储留存周期不低于 1 年；日志来源包含云主机、各类安全设备</w:t>
            </w:r>
          </w:p>
        </w:tc>
      </w:tr>
      <w:tr w14:paraId="57BC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FC8AF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05994E8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溯源取证</w:t>
            </w:r>
          </w:p>
        </w:tc>
        <w:tc>
          <w:tcPr>
            <w:tcW w:w="0" w:type="auto"/>
            <w:vAlign w:val="center"/>
          </w:tcPr>
          <w:p w14:paraId="7602985F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 NAT 溯源，按源 IP、目的 IP、时间检索，业务链方式展示溯源结果</w:t>
            </w:r>
          </w:p>
        </w:tc>
      </w:tr>
    </w:tbl>
    <w:p w14:paraId="630B83A4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（四）三级等保服务（包含定级，评审，备案，测评）</w:t>
      </w:r>
    </w:p>
    <w:p w14:paraId="5CC4E4F1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针对本项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目</w:t>
      </w:r>
      <w:r>
        <w:rPr>
          <w:rFonts w:hint="eastAsia" w:ascii="宋体" w:hAnsi="宋体" w:eastAsia="宋体" w:cs="宋体"/>
          <w:strike w:val="0"/>
          <w:dstrike w:val="0"/>
          <w:color w:val="auto"/>
          <w:kern w:val="0"/>
          <w:sz w:val="24"/>
          <w:szCs w:val="24"/>
          <w:highlight w:val="none"/>
          <w:lang w:val="en-US" w:eastAsia="zh-CN"/>
        </w:rPr>
        <w:t>重庆市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双</w:t>
      </w:r>
      <w:r>
        <w:rPr>
          <w:rFonts w:ascii="宋体" w:hAnsi="宋体" w:eastAsia="宋体" w:cs="宋体"/>
          <w:kern w:val="0"/>
          <w:sz w:val="24"/>
          <w:szCs w:val="24"/>
        </w:rPr>
        <w:t>向转诊平台开展网络安全等级保护三级全流程合规服务。服务完整包含：系统资产梳理、定级咨询、定级报告编制、专家评审协助、公安网安备案全流程协助、现状差距评估（预测评）、安全整改咨询指导（技术 + 管理）、正式等级测评、复测、全套成果交付、监管对接支撑；直至完成公安备案取得备案回执，出具合规有效的正式等级保护测评报告，满足公安网安监管、内部审计、三级等保合规要求。本服务为全包干服务，包含现场服务、工具使用、渗透测试、文档编制、打印装订、交通、人工、税费等全部费用。</w:t>
      </w:r>
    </w:p>
    <w:p w14:paraId="6CBE4856">
      <w:pPr>
        <w:widowControl/>
        <w:numPr>
          <w:ilvl w:val="0"/>
          <w:numId w:val="4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交付成果总清单：定级报告、系统拓扑图、资产清单；全套公安备案申报材料、备案回执；差距分析报告、风险清单、漏洞扫描报告、渗透测试报告；安全管理制度汇编、整改指导方案；正式盖章三级等级保护测评报告（纸质版 + 电子版）；现场测评原始记录表、证据材料归档包。</w:t>
      </w:r>
    </w:p>
    <w:p w14:paraId="3AE37C62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（五）备份服务</w:t>
      </w:r>
    </w:p>
    <w:tbl>
      <w:tblPr>
        <w:tblStyle w:val="9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5"/>
        <w:gridCol w:w="1159"/>
        <w:gridCol w:w="6852"/>
      </w:tblGrid>
      <w:tr w14:paraId="41FD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3B611610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59F759D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要求项</w:t>
            </w:r>
          </w:p>
        </w:tc>
        <w:tc>
          <w:tcPr>
            <w:tcW w:w="0" w:type="auto"/>
            <w:vAlign w:val="center"/>
          </w:tcPr>
          <w:p w14:paraId="1CFA1C6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功能描述</w:t>
            </w:r>
          </w:p>
        </w:tc>
      </w:tr>
      <w:tr w14:paraId="603DB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81D9B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C755F4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整机备份</w:t>
            </w:r>
          </w:p>
        </w:tc>
        <w:tc>
          <w:tcPr>
            <w:tcW w:w="0" w:type="auto"/>
            <w:vAlign w:val="center"/>
          </w:tcPr>
          <w:p w14:paraId="3FAF029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支持云主机整机备份与恢复</w:t>
            </w:r>
          </w:p>
        </w:tc>
      </w:tr>
      <w:tr w14:paraId="4A00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021B6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582B76D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云硬盘备份</w:t>
            </w:r>
          </w:p>
        </w:tc>
        <w:tc>
          <w:tcPr>
            <w:tcW w:w="0" w:type="auto"/>
            <w:vAlign w:val="center"/>
          </w:tcPr>
          <w:p w14:paraId="4C5BD0A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支持云硬盘备份与恢复</w:t>
            </w:r>
          </w:p>
        </w:tc>
      </w:tr>
      <w:tr w14:paraId="19FA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5202B8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D28634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Linux 客户端</w:t>
            </w:r>
          </w:p>
        </w:tc>
        <w:tc>
          <w:tcPr>
            <w:tcW w:w="0" w:type="auto"/>
            <w:vAlign w:val="center"/>
          </w:tcPr>
          <w:p w14:paraId="0A27F1C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备份客户端兼容 CentOS、Ubuntu 等主流 Linux 操作系统</w:t>
            </w:r>
          </w:p>
        </w:tc>
      </w:tr>
      <w:tr w14:paraId="167BA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BFC66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263D1DC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Windows 客户端</w:t>
            </w:r>
          </w:p>
        </w:tc>
        <w:tc>
          <w:tcPr>
            <w:tcW w:w="0" w:type="auto"/>
            <w:vAlign w:val="center"/>
          </w:tcPr>
          <w:p w14:paraId="1134308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备份客户端兼容 Windows 操作系统</w:t>
            </w:r>
          </w:p>
        </w:tc>
      </w:tr>
      <w:tr w14:paraId="024D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F0F46B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A7F9F8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推送安装</w:t>
            </w:r>
          </w:p>
        </w:tc>
        <w:tc>
          <w:tcPr>
            <w:tcW w:w="0" w:type="auto"/>
            <w:vAlign w:val="center"/>
          </w:tcPr>
          <w:p w14:paraId="3D5E7E6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支持备份客户端远程推送部署安装</w:t>
            </w:r>
          </w:p>
        </w:tc>
      </w:tr>
      <w:tr w14:paraId="05E3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8ACB7E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0B3BA8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备份任务管理</w:t>
            </w:r>
          </w:p>
        </w:tc>
        <w:tc>
          <w:tcPr>
            <w:tcW w:w="0" w:type="auto"/>
            <w:vAlign w:val="center"/>
          </w:tcPr>
          <w:p w14:paraId="6C54E17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可查看备份任务执行状态</w:t>
            </w:r>
          </w:p>
        </w:tc>
      </w:tr>
      <w:tr w14:paraId="3535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7F74F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2E3E521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取消备份</w:t>
            </w:r>
          </w:p>
        </w:tc>
        <w:tc>
          <w:tcPr>
            <w:tcW w:w="0" w:type="auto"/>
            <w:vAlign w:val="center"/>
          </w:tcPr>
          <w:p w14:paraId="52FFA99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支持终止正在执行的备份任务</w:t>
            </w:r>
          </w:p>
        </w:tc>
      </w:tr>
      <w:tr w14:paraId="5EAC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9CBB2D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EBC8D3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恢复任务管理</w:t>
            </w:r>
          </w:p>
        </w:tc>
        <w:tc>
          <w:tcPr>
            <w:tcW w:w="0" w:type="auto"/>
            <w:vAlign w:val="center"/>
          </w:tcPr>
          <w:p w14:paraId="6EF3680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查看恢复任务执行状态</w:t>
            </w:r>
          </w:p>
        </w:tc>
      </w:tr>
      <w:tr w14:paraId="2DF5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8C815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78651C0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取消恢复</w:t>
            </w:r>
          </w:p>
        </w:tc>
        <w:tc>
          <w:tcPr>
            <w:tcW w:w="0" w:type="auto"/>
            <w:vAlign w:val="center"/>
          </w:tcPr>
          <w:p w14:paraId="3F63EF4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支持终止正在执行的恢复任务</w:t>
            </w:r>
          </w:p>
        </w:tc>
      </w:tr>
      <w:tr w14:paraId="4B2A5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ADA1D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7FD8F9E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全量备份</w:t>
            </w:r>
          </w:p>
        </w:tc>
        <w:tc>
          <w:tcPr>
            <w:tcW w:w="0" w:type="auto"/>
            <w:vAlign w:val="center"/>
          </w:tcPr>
          <w:p w14:paraId="56C40AD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支持对业务对象执行全量数据备份</w:t>
            </w:r>
          </w:p>
        </w:tc>
      </w:tr>
      <w:tr w14:paraId="478F2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7C7B4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1FBD3EB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增量备份</w:t>
            </w:r>
          </w:p>
        </w:tc>
        <w:tc>
          <w:tcPr>
            <w:tcW w:w="0" w:type="auto"/>
            <w:vAlign w:val="center"/>
          </w:tcPr>
          <w:p w14:paraId="3F25DED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仅备份发生变化的数据块</w:t>
            </w:r>
          </w:p>
        </w:tc>
      </w:tr>
      <w:tr w14:paraId="65A28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D8383E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46BFC11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自动备份</w:t>
            </w:r>
          </w:p>
        </w:tc>
        <w:tc>
          <w:tcPr>
            <w:tcW w:w="0" w:type="auto"/>
            <w:vAlign w:val="center"/>
          </w:tcPr>
          <w:p w14:paraId="593E98B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可配置策略实现备份任务自动执行</w:t>
            </w:r>
          </w:p>
        </w:tc>
      </w:tr>
      <w:tr w14:paraId="2093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4513A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2C14E5C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定期全量备份</w:t>
            </w:r>
          </w:p>
        </w:tc>
        <w:tc>
          <w:tcPr>
            <w:tcW w:w="0" w:type="auto"/>
            <w:vAlign w:val="center"/>
          </w:tcPr>
          <w:p w14:paraId="6F2C9A0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支持配置周期性全量备份任务</w:t>
            </w:r>
          </w:p>
        </w:tc>
      </w:tr>
      <w:tr w14:paraId="3F71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5FEDC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33B8903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长周期保留</w:t>
            </w:r>
          </w:p>
        </w:tc>
        <w:tc>
          <w:tcPr>
            <w:tcW w:w="0" w:type="auto"/>
            <w:vAlign w:val="center"/>
          </w:tcPr>
          <w:p w14:paraId="53D88A0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支持按年/月/周/日设置备份副本长周期保留策略</w:t>
            </w:r>
          </w:p>
        </w:tc>
      </w:tr>
      <w:tr w14:paraId="4547B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265B8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5453689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存储介质</w:t>
            </w:r>
          </w:p>
        </w:tc>
        <w:tc>
          <w:tcPr>
            <w:tcW w:w="0" w:type="auto"/>
            <w:vAlign w:val="center"/>
          </w:tcPr>
          <w:p w14:paraId="266DA9EA"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备份存储资源由云服务商统一提供；备份存储集群与业务云主机集群物理隔离，不共用同一套集群资源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，存储介质可挂载于业务虚拟服务器上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，本次存储可用空间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1TB，后续能按需扩容，提供扩容报价。</w:t>
            </w:r>
          </w:p>
        </w:tc>
      </w:tr>
    </w:tbl>
    <w:p w14:paraId="2B1146F8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四、运维服务</w:t>
      </w:r>
    </w:p>
    <w:p w14:paraId="158C0A56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云主机/计算资源运维</w:t>
      </w:r>
    </w:p>
    <w:p w14:paraId="48D33ABC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实例运行保障：监控云主机 CPU、内存、磁盘、负载指标，负载异常及时预警；处理主机死机、宕机、业务卡顿故障，协助操作系统层面故障排查。</w:t>
      </w:r>
    </w:p>
    <w:p w14:paraId="201454A9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操作系统运维：操作系统补丁更新、漏洞修复；系统参数调优；磁盘扩容、分区管理；文件系统故障处置；时间同步管理。</w:t>
      </w:r>
    </w:p>
    <w:p w14:paraId="133AB742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资源生命周期管理：主机开机 / 关机 / 重启、规格升降配；弹性伸缩策略配置调优；闲置资源梳理维护，建立资源台账。</w:t>
      </w:r>
    </w:p>
    <w:p w14:paraId="77A79DA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虚拟化底层运维：云平台宿主机状态巡检，降低宿主机故障对业务虚拟机的影响。</w:t>
      </w:r>
    </w:p>
    <w:p w14:paraId="7F978FD4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网络运维</w:t>
      </w:r>
    </w:p>
    <w:p w14:paraId="1A6B27A8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VPC私有网络、子网、路由表、安全组、网络 ACL 策略配置维护；弹性公网 IP 绑定、解绑操作。</w:t>
      </w:r>
    </w:p>
    <w:p w14:paraId="6BE278A5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负载均衡、网关、防火墙策略核查，网络连通性故障排查；带宽监控，拥塞风险告警。</w:t>
      </w:r>
    </w:p>
    <w:p w14:paraId="1AB932E2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网络变更留痕记录，定期核对网络拓扑，清理冗余策略，杜绝高危大范围访问放行策略。</w:t>
      </w:r>
    </w:p>
    <w:p w14:paraId="73FDA07E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安全类运维服务</w:t>
      </w:r>
    </w:p>
    <w:p w14:paraId="05CD76B6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安全设备/云安全能力运维：云防火墙、入侵检测、WAF、主机安全策略调优；安全告警研判，过滤误报，处置各类攻击告警。</w:t>
      </w:r>
    </w:p>
    <w:p w14:paraId="56E276BA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漏洞管理：定期漏洞扫描，输出风险清单，协助漏洞加固修复；高危漏洞应急处置。</w:t>
      </w:r>
    </w:p>
    <w:p w14:paraId="3E65BFD7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访问权限运维：云账号权限梳理，落实最小权限原则；定期审计账号，回收闲置账号；MFA 多因子认证运维。</w:t>
      </w:r>
    </w:p>
    <w:p w14:paraId="4DB99ED1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安全事件响应：病毒、木马、入侵、异常登录事件处置，开展事件溯源，输出安全加固建议。</w:t>
      </w:r>
    </w:p>
    <w:p w14:paraId="60E3A6FA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合规支撑：配合等级保护测评工作，提供安全配置、日志、策略相关佐证材料。</w:t>
      </w:r>
    </w:p>
    <w:p w14:paraId="78E2A9A1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备份与容灾运维</w:t>
      </w:r>
    </w:p>
    <w:p w14:paraId="7F09343E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备份策略管理：协助制定、优化备份策略（全量/增量、备份周期、保留周期）；云主机、磁盘、数据库备份任务配置。</w:t>
      </w:r>
    </w:p>
    <w:p w14:paraId="687AA47F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备份作业监控：每日巡检备份任务执行情况；备份失败告警与故障排查；备份存储容量监控预警。</w:t>
      </w:r>
    </w:p>
    <w:p w14:paraId="3C9977C5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备份有效性验证：定期组织备份恢复演练，验证备份数据可恢复能力，输出演练记录文档。</w:t>
      </w:r>
    </w:p>
    <w:p w14:paraId="3D61F1F9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恢复服务：发生误删除、数据损坏、勒索病毒场景，按要求执行数据恢复操作。</w:t>
      </w:r>
    </w:p>
    <w:p w14:paraId="0FFAD2FC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容灾能力运维：跨可用区实例、快照、数据复制任务巡检；配合开展容灾切换演练。</w:t>
      </w:r>
    </w:p>
    <w:p w14:paraId="3656F771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备份存储台账管理，定期清理过期备份副本，管控存储成本。</w:t>
      </w:r>
    </w:p>
    <w:p w14:paraId="0537A4B8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监控、告警运维</w:t>
      </w:r>
    </w:p>
    <w:p w14:paraId="16992934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统一监控配置：覆盖主机、磁盘 IO、网络、安全、备份任务全维度监控指标。</w:t>
      </w:r>
    </w:p>
    <w:p w14:paraId="39E0ADA2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告警策略配置：划分一般、重要、紧急告警等级；支持短信、邮件、工单告警渠道；配置告警抑制策略，避免告警风暴。</w:t>
      </w:r>
    </w:p>
    <w:p w14:paraId="7F7D7680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7×24 小时接收故障告警，紧急故障及时响应；定期调优监控告警规则。</w:t>
      </w:r>
    </w:p>
    <w:p w14:paraId="6E08D11D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资源容量监控：磁盘、内存、带宽、备份存储容量预警，提前提示扩容。</w:t>
      </w:r>
    </w:p>
    <w:p w14:paraId="185A2864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故障处理服务</w:t>
      </w:r>
    </w:p>
    <w:p w14:paraId="3ADF7B08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分级响应 SLA：区分紧急、重要、一般故障，明确响应时限、处置时限；故障登记、跟踪、闭环管理。</w:t>
      </w:r>
    </w:p>
    <w:p w14:paraId="0ED1202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针对业务中断、主机异常、备份失败、安全告警开展故障定位；区分云平台底层故障与上层业务应用故障。</w:t>
      </w:r>
    </w:p>
    <w:p w14:paraId="1EBBBDF1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故障处置完成后输出故障报告，包含故障现象、根因分析、处置过程、改进优化措施。</w:t>
      </w:r>
    </w:p>
    <w:p w14:paraId="642DEF1C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变更与配置管理</w:t>
      </w:r>
    </w:p>
    <w:p w14:paraId="4B2CB1BC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云资源变更执行变更管控流程，变更前开展风险评估，必要时执行备份。</w:t>
      </w:r>
    </w:p>
    <w:p w14:paraId="4E15EC8B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维护配置基线：主机基线、安全组基线、防火墙基线、备份策略基线；所有配置变更留痕归档。</w:t>
      </w:r>
    </w:p>
    <w:p w14:paraId="403FA029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生产环境禁止无评估随意修改配置，重大变更安排业务低峰窗口实施。</w:t>
      </w:r>
    </w:p>
    <w:p w14:paraId="7654A009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日志与审计运维</w:t>
      </w:r>
    </w:p>
    <w:p w14:paraId="509CB8A9">
      <w:pPr>
        <w:widowControl/>
        <w:numPr>
          <w:ilvl w:val="0"/>
          <w:numId w:val="1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云平台操作日志、主机安全日志、网络访问日志收集留存；日志留存周期不少于 1 年，满足合规审计要求。</w:t>
      </w:r>
    </w:p>
    <w:p w14:paraId="79ADE1CC">
      <w:pPr>
        <w:widowControl/>
        <w:numPr>
          <w:ilvl w:val="0"/>
          <w:numId w:val="1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定期审计云平台操作记录，识别异常操作行为。</w:t>
      </w:r>
    </w:p>
    <w:p w14:paraId="67DF003B">
      <w:pPr>
        <w:widowControl/>
        <w:numPr>
          <w:ilvl w:val="0"/>
          <w:numId w:val="12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支持安全事件溯源，配合内部审计、上级主管检查工作。</w:t>
      </w:r>
    </w:p>
    <w:p w14:paraId="3296ACF7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巡检、报告服务</w:t>
      </w:r>
    </w:p>
    <w:p w14:paraId="2D19791C">
      <w:pPr>
        <w:widowControl/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定期巡检：周度、月度巡检，检查主机健康状态、磁盘资源、备份任务、安全告警、账号权限、资源容量。</w:t>
      </w:r>
    </w:p>
    <w:p w14:paraId="2DDF4D94">
      <w:pPr>
        <w:widowControl/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运维报告：输出月度运维报告，包含资源使用统计、故障统计、备份执行情况、安全风险、优化建议。</w:t>
      </w:r>
    </w:p>
    <w:p w14:paraId="5501DDE7">
      <w:pPr>
        <w:widowControl/>
        <w:numPr>
          <w:ilvl w:val="0"/>
          <w:numId w:val="13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季度 / 年度安全风险评估，输出风险评估报告及优化建议。</w:t>
      </w:r>
    </w:p>
    <w:p w14:paraId="66B237E6">
      <w:pPr>
        <w:widowControl/>
        <w:spacing w:before="100" w:beforeAutospacing="1" w:after="100" w:afterAutospacing="1" w:line="360" w:lineRule="auto"/>
        <w:jc w:val="left"/>
        <w:outlineLvl w:val="2"/>
        <w:rPr>
          <w:rFonts w:ascii="宋体" w:hAnsi="宋体" w:eastAsia="宋体" w:cs="宋体"/>
          <w:b/>
          <w:bCs/>
          <w:kern w:val="0"/>
          <w:sz w:val="27"/>
          <w:szCs w:val="27"/>
        </w:rPr>
      </w:pPr>
      <w:r>
        <w:rPr>
          <w:rFonts w:ascii="宋体" w:hAnsi="宋体" w:eastAsia="宋体" w:cs="宋体"/>
          <w:b/>
          <w:bCs/>
          <w:kern w:val="0"/>
          <w:sz w:val="27"/>
          <w:szCs w:val="27"/>
        </w:rPr>
        <w:t>应急与技术支撑</w:t>
      </w:r>
    </w:p>
    <w:p w14:paraId="4B3F87FA">
      <w:pPr>
        <w:widowControl/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重大保障：节假日、重点业务时段开展专项巡检，提供应急值守支撑。</w:t>
      </w:r>
    </w:p>
    <w:p w14:paraId="065D5713">
      <w:pPr>
        <w:widowControl/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技术咨询：云架构优化、资源选型、成本优化咨询服务。</w:t>
      </w:r>
    </w:p>
    <w:p w14:paraId="00487FB4">
      <w:pPr>
        <w:widowControl/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版本升级：云组件、安全组件版本升级风险评估与实施支撑。</w:t>
      </w:r>
    </w:p>
    <w:p w14:paraId="7840C56C">
      <w:pPr>
        <w:widowControl/>
        <w:numPr>
          <w:ilvl w:val="0"/>
          <w:numId w:val="14"/>
        </w:numPr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知识库与运维台账维护：云主机清单、备份策略清单、账号清单、安全策略清单。</w:t>
      </w:r>
    </w:p>
    <w:p w14:paraId="65426DA1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五、租用服务时间</w:t>
      </w:r>
    </w:p>
    <w:p w14:paraId="3D780A94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服务周期：1年，自合同签订之日起计算。服务到期后，若甲方书面提出延续服务，乙方应按照合同约定同等服务标准提供延续服务；延续服务费用在服务终止后，按照原合同单价标准、实际服务自然日进行结算。</w:t>
      </w:r>
    </w:p>
    <w:p w14:paraId="5C2748EC">
      <w:pPr>
        <w:widowControl/>
        <w:spacing w:before="100" w:beforeAutospacing="1" w:after="100" w:afterAutospacing="1" w:line="360" w:lineRule="auto"/>
        <w:jc w:val="left"/>
        <w:outlineLvl w:val="1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</w:rPr>
        <w:t>六、报价要求</w:t>
      </w:r>
    </w:p>
    <w:p w14:paraId="3DDC4913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服务商应结合本项目全部需求进行报价。</w:t>
      </w:r>
    </w:p>
    <w:p w14:paraId="1C19808E"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七、法律责任约束</w:t>
      </w:r>
    </w:p>
    <w:p w14:paraId="4E1E2A11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云服务商对本次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</w:rPr>
        <w:t>所提供全部服务承担法律责任，不得因提供的服务引发任何法律纠纷，由此产生的一切责任由云服务商负责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156A341E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altName w:val="宋体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BD2027"/>
    <w:multiLevelType w:val="multilevel"/>
    <w:tmpl w:val="11BD202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1C148E3"/>
    <w:multiLevelType w:val="multilevel"/>
    <w:tmpl w:val="11C148E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C422355"/>
    <w:multiLevelType w:val="multilevel"/>
    <w:tmpl w:val="2C422355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DAE388C"/>
    <w:multiLevelType w:val="multilevel"/>
    <w:tmpl w:val="2DAE388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6505A4D"/>
    <w:multiLevelType w:val="multilevel"/>
    <w:tmpl w:val="36505A4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2E051D7"/>
    <w:multiLevelType w:val="multilevel"/>
    <w:tmpl w:val="42E051D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39315DC"/>
    <w:multiLevelType w:val="multilevel"/>
    <w:tmpl w:val="439315D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59E7C8A"/>
    <w:multiLevelType w:val="multilevel"/>
    <w:tmpl w:val="459E7C8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47542295"/>
    <w:multiLevelType w:val="multilevel"/>
    <w:tmpl w:val="475422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4B4A0A44"/>
    <w:multiLevelType w:val="multilevel"/>
    <w:tmpl w:val="4B4A0A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2797C1F"/>
    <w:multiLevelType w:val="multilevel"/>
    <w:tmpl w:val="62797C1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6F153E23"/>
    <w:multiLevelType w:val="multilevel"/>
    <w:tmpl w:val="6F153E2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75D96510"/>
    <w:multiLevelType w:val="multilevel"/>
    <w:tmpl w:val="75D9651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7E1656A3"/>
    <w:multiLevelType w:val="multilevel"/>
    <w:tmpl w:val="7E1656A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10"/>
  </w:num>
  <w:num w:numId="9">
    <w:abstractNumId w:val="7"/>
  </w:num>
  <w:num w:numId="10">
    <w:abstractNumId w:val="8"/>
  </w:num>
  <w:num w:numId="11">
    <w:abstractNumId w:val="13"/>
  </w:num>
  <w:num w:numId="12">
    <w:abstractNumId w:val="11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8"/>
    <w:rsid w:val="0003151D"/>
    <w:rsid w:val="001D7B2C"/>
    <w:rsid w:val="00386496"/>
    <w:rsid w:val="003F3851"/>
    <w:rsid w:val="00477936"/>
    <w:rsid w:val="00686BF6"/>
    <w:rsid w:val="00720DD8"/>
    <w:rsid w:val="00733D24"/>
    <w:rsid w:val="007B7C33"/>
    <w:rsid w:val="00C50458"/>
    <w:rsid w:val="00D96C53"/>
    <w:rsid w:val="00FD6572"/>
    <w:rsid w:val="13AA1D0C"/>
    <w:rsid w:val="23805F3A"/>
    <w:rsid w:val="3BD7F019"/>
    <w:rsid w:val="3FFC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2 字符"/>
    <w:basedOn w:val="1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10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标题 4 字符"/>
    <w:basedOn w:val="10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6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1222</Words>
  <Characters>1341</Characters>
  <Lines>56</Lines>
  <Paragraphs>15</Paragraphs>
  <TotalTime>18</TotalTime>
  <ScaleCrop>false</ScaleCrop>
  <LinksUpToDate>false</LinksUpToDate>
  <CharactersWithSpaces>1388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2026-09-08T11:27:00Z</dcterms:created>
  <dc:creator>1112321564</dc:creator>
  <cp:lastModifiedBy>骆欢</cp:lastModifiedBy>
  <dcterms:modified xsi:type="dcterms:W3CDTF">2026-09-10T04:38:05Z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eyJoZGlkIjoiNjllNGZmNWRhYTUyYTFlZDA3Y2M0NTFkYmMwMDhmZGEiLCJ1c2VySWQiOiI0MjkyNDgzMTQifQ==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6E87B8ABC852B6468415A16A7EFA12D7_43</vt:lpwstr>
  </property>
</Properties>
</file>